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Arial" w:hAnsi="Arial" w:eastAsia="黑体"/>
          <w:b/>
          <w:bCs/>
          <w:color w:val="000000"/>
          <w:sz w:val="84"/>
          <w:szCs w:val="24"/>
          <w:highlight w:val="none"/>
        </w:rPr>
      </w:r>
      <w:r/>
    </w:p>
    <w:p>
      <w:pPr>
        <w:pStyle w:val="947"/>
        <w:rPr>
          <w:rFonts w:hint="eastAsia"/>
          <w:color w:val="000000"/>
          <w:highlight w:val="none"/>
        </w:rPr>
      </w:pPr>
      <w:r>
        <w:rPr>
          <w:rFonts w:hint="eastAsia"/>
          <w:color w:val="000000"/>
          <w:highlight w:val="none"/>
        </w:rPr>
      </w:r>
      <w:r/>
    </w:p>
    <w:p>
      <w:pPr>
        <w:pStyle w:val="964"/>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69"/>
        <w:ind w:left="1680" w:firstLine="420"/>
        <w:jc w:val="both"/>
        <w:rPr>
          <w:b/>
          <w:color w:val="000000"/>
          <w:sz w:val="30"/>
          <w:szCs w:val="30"/>
          <w:highlight w:val="none"/>
          <w:u w:val="single"/>
        </w:rPr>
      </w:pPr>
      <w:r>
        <w:rPr>
          <w:rFonts w:hint="eastAsia"/>
          <w:b/>
          <w:color w:val="000000"/>
          <w:sz w:val="30"/>
          <w:szCs w:val="30"/>
          <w:highlight w:val="none"/>
        </w:rPr>
        <w:t xml:space="preserve">项目名称：南京脑科医院两院区智能专病库</w:t>
      </w:r>
      <w:r>
        <w:rPr>
          <w:b/>
          <w:color w:val="000000"/>
          <w:sz w:val="30"/>
          <w:szCs w:val="30"/>
          <w:highlight w:val="none"/>
          <w:u w:val="single"/>
        </w:rPr>
      </w:r>
      <w:r/>
    </w:p>
    <w:p>
      <w:pPr>
        <w:pStyle w:val="869"/>
        <w:ind w:left="1680" w:firstLine="420"/>
        <w:jc w:val="both"/>
        <w:rPr>
          <w:rFonts w:eastAsia="宋体" w:cs="Times New Roman"/>
          <w:b/>
          <w:color w:val="000000"/>
          <w:sz w:val="30"/>
          <w:szCs w:val="30"/>
          <w:highlight w:val="none"/>
          <w:lang w:val="en-US" w:eastAsia="zh-CN"/>
        </w:rPr>
      </w:pPr>
      <w:r>
        <w:rPr>
          <w:rFonts w:hint="eastAsia"/>
          <w:b/>
          <w:color w:val="000000"/>
          <w:sz w:val="30"/>
          <w:szCs w:val="30"/>
          <w:highlight w:val="none"/>
        </w:rPr>
        <w:t xml:space="preserve">项目编号：JSZC-320100-JZCG-G2026-0020</w:t>
      </w:r>
      <w:r>
        <w:rPr>
          <w:rFonts w:hint="eastAsia"/>
          <w:b/>
          <w:color w:val="000000"/>
          <w:sz w:val="30"/>
          <w:szCs w:val="30"/>
          <w:highlight w:val="none"/>
          <w:lang w:val="en-US" w:eastAsia="zh-CN"/>
        </w:rPr>
        <w:t xml:space="preserve">    </w:t>
      </w:r>
      <w:r>
        <w:rPr>
          <w:rFonts w:eastAsia="宋体" w:cs="Times New Roman"/>
          <w:b/>
          <w:color w:val="000000"/>
          <w:sz w:val="30"/>
          <w:szCs w:val="30"/>
          <w:highlight w:val="none"/>
          <w:lang w:val="en-US" w:eastAsia="zh-CN"/>
        </w:rPr>
      </w:r>
      <w:r/>
    </w:p>
    <w:p>
      <w:pPr>
        <w:pStyle w:val="869"/>
        <w:jc w:val="center"/>
        <w:rPr>
          <w:rFonts w:hint="eastAsia"/>
          <w:b/>
          <w:color w:val="000000"/>
          <w:sz w:val="30"/>
          <w:szCs w:val="30"/>
          <w:highlight w:val="none"/>
        </w:rPr>
      </w:pPr>
      <w:r>
        <w:rPr>
          <w:rFonts w:hint="eastAsia"/>
          <w:b/>
          <w:color w:val="000000"/>
          <w:sz w:val="30"/>
          <w:szCs w:val="30"/>
          <w:highlight w:val="none"/>
        </w:rPr>
        <w:t xml:space="preserve">（</w:t>
      </w:r>
      <w:r>
        <w:rPr>
          <w:rFonts w:hint="eastAsia" w:ascii="宋体" w:hAnsi="宋体" w:cs="宋体"/>
          <w:b/>
          <w:bCs/>
          <w:color w:val="000000"/>
          <w:sz w:val="30"/>
          <w:szCs w:val="30"/>
          <w:highlight w:val="none"/>
        </w:rPr>
        <w:t xml:space="preserve">非专门</w:t>
      </w:r>
      <w:r>
        <w:rPr>
          <w:rFonts w:hint="eastAsia"/>
          <w:b/>
          <w:color w:val="000000"/>
          <w:sz w:val="30"/>
          <w:szCs w:val="30"/>
          <w:highlight w:val="none"/>
        </w:rPr>
        <w:t xml:space="preserve">面向中小企业）</w:t>
      </w:r>
      <w:r>
        <w:rPr>
          <w:rFonts w:hint="eastAsia"/>
          <w:b/>
          <w:color w:val="000000"/>
          <w:sz w:val="30"/>
          <w:szCs w:val="30"/>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4"/>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69"/>
        <w:jc w:val="center"/>
        <w:rPr>
          <w:rFonts w:hint="eastAsia"/>
          <w:b/>
          <w:color w:val="000000"/>
          <w:sz w:val="32"/>
          <w:szCs w:val="32"/>
          <w:highlight w:val="none"/>
        </w:rPr>
      </w:pPr>
      <w:r>
        <w:rPr>
          <w:rFonts w:hint="eastAsia"/>
          <w:b/>
          <w:color w:val="000000"/>
          <w:sz w:val="32"/>
          <w:szCs w:val="32"/>
          <w:highlight w:val="none"/>
        </w:rPr>
        <w:t xml:space="preserve">2026年</w:t>
      </w:r>
      <w:r>
        <w:rPr>
          <w:rFonts w:hint="eastAsia"/>
          <w:b/>
          <w:color w:val="000000"/>
          <w:sz w:val="32"/>
          <w:szCs w:val="32"/>
          <w:highlight w:val="none"/>
          <w:lang w:val="en-US" w:eastAsia="zh-CN"/>
        </w:rPr>
        <w:t xml:space="preserve">3</w:t>
      </w:r>
      <w:r>
        <w:rPr>
          <w:rFonts w:hint="eastAsia"/>
          <w:b/>
          <w:color w:val="000000"/>
          <w:sz w:val="32"/>
          <w:szCs w:val="32"/>
          <w:highlight w:val="none"/>
        </w:rPr>
        <w:t xml:space="preserve">月</w:t>
      </w:r>
      <w:r>
        <w:rPr>
          <w:rFonts w:hint="eastAsia"/>
          <w:b/>
          <w:color w:val="000000"/>
          <w:sz w:val="32"/>
          <w:szCs w:val="32"/>
          <w:highlight w:val="none"/>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Arial" w:hAnsi="Arial"/>
          <w:color w:val="000000"/>
          <w:sz w:val="24"/>
          <w:szCs w:val="24"/>
          <w:highlight w:val="none"/>
        </w:rPr>
        <w:t xml:space="preserve">                        </w:t>
      </w:r>
      <w:r>
        <w:rPr>
          <w:rFonts w:hint="eastAsia" w:ascii="宋体" w:hAnsi="宋体" w:eastAsia="宋体" w:cs="宋体"/>
          <w:b/>
          <w:bCs/>
          <w:color w:val="000000"/>
          <w:sz w:val="24"/>
          <w:szCs w:val="24"/>
          <w:highlight w:val="none"/>
          <w:lang w:eastAsia="zh-CN"/>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47"/>
        <w:rPr>
          <w:rFonts w:hint="eastAsia"/>
          <w:color w:val="000000"/>
          <w:highlight w:val="none"/>
        </w:rPr>
      </w:pPr>
      <w:r>
        <w:rPr>
          <w:rFonts w:hint="eastAsia"/>
          <w:color w:val="000000"/>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投标邀请…………………………………… 2</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投标人须知………………………………… 4</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合同文本……………………………………12</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采购需求……………………………………18</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评标方法与评标标准………………………28</w:t>
      </w:r>
      <w:r>
        <w:rPr>
          <w:rFonts w:hint="eastAsia" w:ascii="黑体" w:hAnsi="宋体" w:eastAsia="黑体"/>
          <w:color w:val="000000"/>
          <w:sz w:val="36"/>
          <w:highlight w:val="none"/>
        </w:rPr>
      </w:r>
      <w:r/>
    </w:p>
    <w:p>
      <w:pPr>
        <w:pStyle w:val="869"/>
        <w:numPr>
          <w:ilvl w:val="0"/>
          <w:numId w:val="4"/>
        </w:numPr>
        <w:jc w:val="center"/>
        <w:spacing w:line="960" w:lineRule="auto"/>
        <w:tabs>
          <w:tab w:val="left" w:pos="1440" w:leader="none"/>
        </w:tabs>
        <w:rPr>
          <w:rFonts w:hint="eastAsia" w:ascii="黑体" w:hAnsi="宋体" w:eastAsia="黑体"/>
          <w:color w:val="000000"/>
          <w:sz w:val="36"/>
          <w:highlight w:val="none"/>
        </w:rPr>
        <w:outlineLvl w:val="1"/>
      </w:pPr>
      <w:r>
        <w:rPr>
          <w:rFonts w:hint="eastAsia" w:ascii="黑体" w:hAnsi="宋体" w:eastAsia="黑体"/>
          <w:color w:val="000000"/>
          <w:sz w:val="36"/>
          <w:highlight w:val="none"/>
        </w:rPr>
        <w:t xml:space="preserve">投标文件格式………………………………32</w:t>
      </w:r>
      <w:r>
        <w:rPr>
          <w:rFonts w:hint="eastAsia" w:ascii="黑体" w:hAnsi="宋体" w:eastAsia="黑体"/>
          <w:color w:val="000000"/>
          <w:sz w:val="36"/>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869"/>
        <w:ind w:firstLine="480"/>
        <w:pageBreakBefore w:val="0"/>
        <w:spacing w:line="240" w:lineRule="auto"/>
        <w:widowControl w:val="off"/>
        <w:rPr>
          <w:rFonts w:hint="eastAsia" w:ascii="宋体" w:hAnsi="宋体"/>
          <w:color w:val="000000"/>
          <w:sz w:val="24"/>
          <w:szCs w:val="24"/>
          <w:highlight w:val="none"/>
        </w:rPr>
      </w:pPr>
      <w:r/>
      <w:bookmarkStart w:id="6" w:name="_Toc38985263"/>
      <w:r/>
      <w:bookmarkStart w:id="7" w:name="_Toc28359002"/>
      <w:r/>
      <w:bookmarkStart w:id="8" w:name="_Toc35393790"/>
      <w:r/>
      <w:bookmarkStart w:id="9" w:name="_Toc28359079"/>
      <w:r/>
      <w:bookmarkStart w:id="10" w:name="_Toc35393621"/>
      <w:r/>
      <w:bookmarkStart w:id="11" w:name="_Hlk24379207"/>
      <w:r>
        <w:rPr>
          <w:rFonts w:hint="eastAsia" w:ascii="宋体" w:hAnsi="宋体"/>
          <w:color w:val="000000"/>
          <w:sz w:val="24"/>
          <w:szCs w:val="24"/>
          <w:highlight w:val="none"/>
        </w:rPr>
      </w:r>
      <w:r/>
    </w:p>
    <w:p>
      <w:pPr>
        <w:pStyle w:val="869"/>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受南京脑科医院委托，南京市公共资源交易中心（以下简称“交易中心”）就南京脑科医院两院区智能专病库进行公开招标采购，欢迎符合条件的供应商投标。</w:t>
      </w:r>
      <w:r>
        <w:rPr>
          <w:rFonts w:ascii="宋体" w:hAnsi="宋体"/>
          <w:color w:val="000000"/>
          <w:sz w:val="24"/>
          <w:szCs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1.项目编号：JSZC-320100-JZCG-G2026-0020 </w:t>
      </w:r>
      <w:r>
        <w:rPr>
          <w:rFonts w:ascii="宋体" w:hAnsi="宋体"/>
          <w:color w:val="000000"/>
          <w:sz w:val="24"/>
          <w:szCs w:val="24"/>
          <w:highlight w:val="none"/>
        </w:rPr>
      </w:r>
      <w:r/>
    </w:p>
    <w:p>
      <w:pPr>
        <w:pStyle w:val="869"/>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2.项目名称：南京脑科医院两院区智能专病库</w:t>
      </w:r>
      <w:r>
        <w:rPr>
          <w:rFonts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3.预算金额：180万元</w:t>
      </w:r>
      <w:r>
        <w:rPr>
          <w:rFonts w:hint="eastAsia" w:ascii="宋体" w:hAnsi="宋体"/>
          <w:color w:val="000000"/>
          <w:sz w:val="24"/>
          <w:szCs w:val="24"/>
          <w:highlight w:val="none"/>
        </w:rPr>
      </w:r>
      <w:r/>
    </w:p>
    <w:p>
      <w:pPr>
        <w:pStyle w:val="869"/>
        <w:ind w:firstLine="480"/>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rPr>
        <w:t xml:space="preserve">180万元</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s="Courier New"/>
          <w:color w:val="000000"/>
          <w:sz w:val="24"/>
          <w:szCs w:val="24"/>
          <w:highlight w:val="none"/>
        </w:rPr>
        <w:t xml:space="preserve">精</w:t>
      </w:r>
      <w:r>
        <w:rPr>
          <w:rFonts w:hint="eastAsia" w:ascii="宋体" w:hAnsi="宋体"/>
          <w:color w:val="000000"/>
          <w:sz w:val="24"/>
          <w:szCs w:val="24"/>
          <w:highlight w:val="none"/>
        </w:rPr>
        <w:t xml:space="preserve">准医学研究与应用推动医学研究关注亚专业和专病，尤其为复杂疾病的科研突破和临床决策提供了支持。此类精细深入的研究和决策需要对专科和专病进行更全面、准确和大量的数据采集和存储。传统临床科研数据收集因采取人工录入而存在数据格式、标准不规范以及利用率、成果转化率较低等问题，无法满足日益增长的科研需求。各分支学科对专病数据集/队列建设有较强需求，通过建立专病数据库平台对医疗大数据进行整合与分析利用，以提高专科疾病医疗服务质量及跟踪疗效转归，进而规避和降低医疗风险、抑制医疗成本等。</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69"/>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rPr>
        <w:t xml:space="preserve">：</w:t>
      </w:r>
      <w:r>
        <w:rPr>
          <w:rFonts w:ascii="宋体" w:hAnsi="宋体" w:cs="宋体"/>
          <w:color w:val="000000"/>
          <w:sz w:val="24"/>
          <w:szCs w:val="24"/>
          <w:highlight w:val="none"/>
        </w:rPr>
        <w:t xml:space="preserve">合同签订后</w:t>
      </w:r>
      <w:r>
        <w:rPr>
          <w:rFonts w:hint="eastAsia" w:ascii="宋体" w:hAnsi="宋体" w:cs="宋体"/>
          <w:bCs/>
          <w:color w:val="000000"/>
          <w:sz w:val="24"/>
          <w:szCs w:val="24"/>
          <w:highlight w:val="none"/>
        </w:rPr>
        <w:t xml:space="preserve">90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869"/>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69"/>
        <w:ind w:firstLine="48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38985264"/>
      <w:r/>
      <w:bookmarkStart w:id="13" w:name="_Toc28359080"/>
      <w:r/>
      <w:bookmarkStart w:id="14" w:name="_Toc35393622"/>
      <w:r/>
      <w:bookmarkStart w:id="15" w:name="_Toc35393791"/>
      <w:r/>
      <w:bookmarkStart w:id="16" w:name="_Toc28359003"/>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color w:val="000000"/>
          <w:sz w:val="24"/>
          <w:szCs w:val="24"/>
          <w:highlight w:val="none"/>
        </w:rPr>
      </w:pPr>
      <w:r/>
      <w:bookmarkStart w:id="17" w:name="_Toc28359081"/>
      <w:r/>
      <w:bookmarkStart w:id="18" w:name="_Toc35393792"/>
      <w:r/>
      <w:bookmarkStart w:id="19" w:name="_Toc35393623"/>
      <w:r/>
      <w:bookmarkStart w:id="20" w:name="_Toc28359004"/>
      <w:r/>
      <w:bookmarkStart w:id="21" w:name="_Toc38985265"/>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color w:val="000000"/>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color w:val="000000"/>
          <w:sz w:val="24"/>
          <w:szCs w:val="24"/>
          <w:highlight w:val="none"/>
          <w:lang w:val="en-US" w:eastAsia="zh-CN"/>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69"/>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38985267"/>
      <w:r/>
      <w:bookmarkStart w:id="28" w:name="_Toc28359007"/>
      <w:r/>
      <w:bookmarkStart w:id="29" w:name="_Toc35393625"/>
      <w:r/>
      <w:bookmarkStart w:id="30" w:name="_Toc35393794"/>
      <w:r/>
      <w:bookmarkStart w:id="31" w:name="_Toc28359084"/>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4</w:t>
      </w:r>
      <w:r>
        <w:rPr>
          <w:rFonts w:hint="eastAsia" w:ascii="宋体" w:hAnsi="宋体"/>
          <w:bCs/>
          <w:color w:val="000000"/>
          <w:sz w:val="24"/>
          <w:szCs w:val="24"/>
          <w:highlight w:val="none"/>
          <w:u w:val="none"/>
        </w:rPr>
        <w:t xml:space="preserve">月16</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highlight w:val="none"/>
          <w:u w:val="none"/>
          <w:lang w:val="en-US" w:eastAsia="zh-CN"/>
        </w:rPr>
        <w:t xml:space="preserve">时30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69"/>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tabs>
          <w:tab w:val="left" w:pos="900" w:leader="none"/>
        </w:tabs>
        <w:rPr>
          <w:rFonts w:hint="eastAsia" w:ascii="宋体" w:hAnsi="宋体"/>
          <w:bCs/>
          <w:color w:val="000000"/>
          <w:sz w:val="24"/>
          <w:szCs w:val="24"/>
          <w:highlight w:val="none"/>
        </w:rPr>
      </w:pPr>
      <w:r/>
      <w:bookmarkStart w:id="35" w:name="_Toc38985269"/>
      <w:r/>
      <w:bookmarkStart w:id="36" w:name="_Toc28359008"/>
      <w:r/>
      <w:bookmarkStart w:id="37" w:name="_Toc35393796"/>
      <w:r/>
      <w:bookmarkStart w:id="38" w:name="_Toc35393627"/>
      <w:r/>
      <w:bookmarkStart w:id="39" w:name="_Toc28359085"/>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69"/>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供应商对上述事项以外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9"/>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color w:val="000000"/>
          <w:sz w:val="24"/>
          <w:highlight w:val="none"/>
        </w:rPr>
        <w:t xml:space="preserve">采购人《质疑函》收件人详见采购人联系方式。</w:t>
      </w:r>
      <w:r>
        <w:rPr>
          <w:rFonts w:ascii="宋体" w:hAnsi="宋体" w:eastAsia="宋体" w:cs="Times New Roman"/>
          <w:b w:val="0"/>
          <w:bCs w:val="0"/>
          <w:color w:val="000000"/>
          <w:sz w:val="24"/>
          <w:highlight w:val="none"/>
          <w:lang w:val="en-US" w:eastAsia="zh-CN"/>
        </w:rPr>
      </w:r>
      <w:r/>
    </w:p>
    <w:p>
      <w:pPr>
        <w:pStyle w:val="869"/>
        <w:ind w:firstLine="480"/>
        <w:spacing w:line="240" w:lineRule="auto"/>
        <w:widowControl/>
        <w:rPr>
          <w:rFonts w:hint="eastAsia" w:ascii="宋体" w:hAnsi="宋体" w:eastAsia="宋体" w:cs="宋体"/>
          <w:b/>
          <w:bCs/>
          <w:color w:val="000000"/>
          <w:sz w:val="24"/>
          <w:szCs w:val="24"/>
          <w:highlight w:val="none"/>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宋体"/>
          <w:b/>
          <w:bCs/>
          <w:color w:val="000000"/>
          <w:sz w:val="24"/>
          <w:szCs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称：南京脑科医院          </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s="宋体"/>
          <w:color w:val="000000"/>
          <w:sz w:val="24"/>
          <w:szCs w:val="24"/>
          <w:highlight w:val="none"/>
        </w:rPr>
        <w:t xml:space="preserve">南京市</w:t>
      </w:r>
      <w:r>
        <w:rPr>
          <w:rFonts w:hint="eastAsia" w:ascii="宋体" w:hAnsi="宋体"/>
          <w:color w:val="000000"/>
          <w:sz w:val="24"/>
          <w:szCs w:val="24"/>
          <w:highlight w:val="none"/>
        </w:rPr>
        <w:t xml:space="preserve">鼓楼</w:t>
      </w:r>
      <w:r>
        <w:rPr>
          <w:rFonts w:hint="eastAsia" w:ascii="宋体" w:hAnsi="宋体" w:cs="宋体"/>
          <w:color w:val="000000"/>
          <w:sz w:val="24"/>
          <w:szCs w:val="24"/>
          <w:highlight w:val="none"/>
        </w:rPr>
        <w:t xml:space="preserve">区</w:t>
      </w:r>
      <w:r>
        <w:rPr>
          <w:rFonts w:hint="eastAsia" w:ascii="宋体" w:hAnsi="宋体"/>
          <w:color w:val="000000"/>
          <w:sz w:val="24"/>
          <w:szCs w:val="24"/>
          <w:highlight w:val="none"/>
        </w:rPr>
        <w:t xml:space="preserve">广州</w:t>
      </w:r>
      <w:r>
        <w:rPr>
          <w:rFonts w:hint="eastAsia" w:ascii="宋体" w:hAnsi="宋体" w:cs="宋体"/>
          <w:color w:val="000000"/>
          <w:sz w:val="24"/>
          <w:szCs w:val="24"/>
          <w:highlight w:val="none"/>
        </w:rPr>
        <w:t xml:space="preserve">路</w:t>
      </w:r>
      <w:r>
        <w:rPr>
          <w:rFonts w:hint="eastAsia" w:ascii="宋体" w:hAnsi="宋体"/>
          <w:color w:val="000000"/>
          <w:sz w:val="24"/>
          <w:szCs w:val="24"/>
          <w:highlight w:val="none"/>
        </w:rPr>
        <w:t xml:space="preserve">264</w:t>
      </w:r>
      <w:r>
        <w:rPr>
          <w:rFonts w:hint="eastAsia" w:ascii="宋体" w:hAnsi="宋体" w:cs="宋体"/>
          <w:color w:val="000000"/>
          <w:sz w:val="24"/>
          <w:szCs w:val="24"/>
          <w:highlight w:val="none"/>
        </w:rPr>
        <w:t xml:space="preserve">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联系人：周老师 </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联系电话：025-</w:t>
      </w:r>
      <w:bookmarkStart w:id="40" w:name="_Toc28359009"/>
      <w:r/>
      <w:bookmarkStart w:id="41" w:name="_Toc28359086"/>
      <w:r>
        <w:rPr>
          <w:rFonts w:hint="eastAsia" w:ascii="宋体" w:hAnsi="宋体"/>
          <w:color w:val="000000"/>
          <w:sz w:val="24"/>
          <w:szCs w:val="24"/>
          <w:highlight w:val="none"/>
        </w:rPr>
        <w:t xml:space="preserve">82296541</w:t>
      </w:r>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2.交易中心</w:t>
      </w:r>
      <w:bookmarkEnd w:id="40"/>
      <w:r/>
      <w:bookmarkEnd w:id="41"/>
      <w:r>
        <w:rPr>
          <w:rFonts w:hint="eastAsia" w:ascii="宋体" w:hAnsi="宋体"/>
          <w:color w:val="000000"/>
          <w:sz w:val="24"/>
          <w:szCs w:val="24"/>
          <w:highlight w:val="none"/>
        </w:rPr>
      </w:r>
      <w:r/>
    </w:p>
    <w:p>
      <w:pPr>
        <w:pStyle w:val="869"/>
        <w:ind w:firstLine="480"/>
        <w:spacing w:line="252"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址：南京市建邺区江东中路265号  </w:t>
      </w:r>
      <w:r>
        <w:rPr>
          <w:rFonts w:hint="eastAsia" w:ascii="宋体" w:hAnsi="宋体"/>
          <w:color w:val="000000"/>
          <w:sz w:val="24"/>
          <w:szCs w:val="24"/>
          <w:highlight w:val="none"/>
        </w:rPr>
      </w:r>
      <w:r/>
    </w:p>
    <w:p>
      <w:pPr>
        <w:pStyle w:val="869"/>
        <w:ind w:firstLine="480"/>
        <w:spacing w:line="252" w:lineRule="auto"/>
        <w:rPr>
          <w:rFonts w:ascii="宋体" w:hAnsi="宋体"/>
          <w:color w:val="000000"/>
          <w:sz w:val="24"/>
          <w:szCs w:val="24"/>
          <w:highlight w:val="none"/>
        </w:rPr>
      </w:pPr>
      <w:r>
        <w:rPr>
          <w:rFonts w:hint="eastAsia" w:ascii="宋体" w:hAnsi="宋体"/>
          <w:color w:val="000000"/>
          <w:sz w:val="24"/>
          <w:szCs w:val="24"/>
          <w:highlight w:val="none"/>
        </w:rPr>
        <w:t xml:space="preserve">联系人：郭先生</w:t>
      </w:r>
      <w:r>
        <w:rPr>
          <w:rFonts w:ascii="宋体" w:hAnsi="宋体"/>
          <w:color w:val="000000"/>
          <w:sz w:val="24"/>
          <w:szCs w:val="24"/>
          <w:highlight w:val="none"/>
        </w:rPr>
      </w:r>
      <w:r/>
    </w:p>
    <w:p>
      <w:pPr>
        <w:pStyle w:val="869"/>
        <w:ind w:firstLine="480"/>
        <w:pageBreakBefore w:val="0"/>
        <w:spacing w:line="240" w:lineRule="auto"/>
        <w:widowControl w:val="off"/>
        <w:rPr>
          <w:rFonts w:hint="eastAsia"/>
          <w:color w:val="000000"/>
          <w:highlight w:val="none"/>
          <w:u w:val="none"/>
        </w:rPr>
      </w:pPr>
      <w:r>
        <w:rPr>
          <w:rFonts w:hint="eastAsia" w:ascii="宋体" w:hAnsi="宋体"/>
          <w:color w:val="000000"/>
          <w:sz w:val="24"/>
          <w:szCs w:val="24"/>
          <w:highlight w:val="none"/>
        </w:rPr>
        <w:t xml:space="preserve">联系电话：025-68505815 </w:t>
      </w:r>
      <w:r>
        <w:rPr>
          <w:rFonts w:hint="eastAsia" w:ascii="宋体" w:hAnsi="宋体" w:eastAsia="宋体" w:cs="Times New Roman"/>
          <w:color w:val="000000"/>
          <w:sz w:val="24"/>
          <w:szCs w:val="24"/>
          <w:highlight w:val="none"/>
          <w:u w:val="none"/>
          <w:lang w:val="en-US" w:eastAsia="zh-CN"/>
        </w:rPr>
        <w:t xml:space="preserve"> </w:t>
      </w:r>
      <w:r>
        <w:rPr>
          <w:rFonts w:hint="eastAsia"/>
          <w:color w:val="000000"/>
          <w:highlight w:val="none"/>
          <w:u w:val="none"/>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Toc479757211"/>
      <w:r/>
      <w:bookmarkStart w:id="43" w:name="_Toc462564139"/>
      <w:r/>
      <w:bookmarkStart w:id="44" w:name="_Toc16938590"/>
      <w:r/>
      <w:bookmarkStart w:id="45" w:name="_Hlt16619350"/>
      <w:r/>
      <w:bookmarkStart w:id="46" w:name="_Toc120614244"/>
      <w:r/>
      <w:bookmarkStart w:id="47" w:name="_Toc20823346"/>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48"/>
      <w:r/>
      <w:bookmarkStart w:id="49" w:name="_Toc513029202"/>
      <w:r/>
      <w:bookmarkStart w:id="50" w:name="_Toc120614213"/>
      <w:r/>
      <w:bookmarkStart w:id="51" w:name="_Toc16938518"/>
      <w:r/>
      <w:bookmarkStart w:id="52" w:name="_Toc20823274"/>
      <w:r>
        <w:rPr>
          <w:rFonts w:hint="eastAsia" w:ascii="方正小标宋简体" w:hAnsi="方正小标宋简体" w:eastAsia="方正小标宋简体" w:cs="方正小标宋简体"/>
          <w:color w:val="000000"/>
          <w:sz w:val="36"/>
          <w:szCs w:val="36"/>
          <w:highlight w:val="none"/>
          <w:lang w:val="en-US" w:eastAsia="zh-CN" w:bidi="ar-SA"/>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53" w:name="_Toc513029203"/>
      <w:r/>
      <w:bookmarkStart w:id="54" w:name="_Toc120614214"/>
      <w:r/>
      <w:bookmarkStart w:id="55" w:name="_Toc20823275"/>
      <w:r/>
      <w:bookmarkStart w:id="56" w:name="_Toc16938519"/>
      <w:r/>
      <w:bookmarkStart w:id="57" w:name="_Toc513029242"/>
      <w:r/>
      <w:bookmarkStart w:id="58" w:name="_Toc16938558"/>
      <w:r/>
      <w:bookmarkStart w:id="59" w:name="_Toc479757207"/>
      <w:r/>
      <w:bookmarkStart w:id="60" w:name="_Toc120614221"/>
      <w:r/>
      <w:bookmarkStart w:id="61" w:name="_Toc20823314"/>
      <w:r>
        <w:rPr>
          <w:rFonts w:hint="eastAsia" w:ascii="方正黑体_GBK" w:hAnsi="方正黑体_GBK" w:eastAsia="方正黑体_GBK" w:cs="方正黑体_GBK"/>
          <w:b w:val="0"/>
          <w:bCs w:val="0"/>
          <w:color w:val="000000"/>
          <w:sz w:val="30"/>
          <w:szCs w:val="30"/>
          <w:highlight w:val="none"/>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2" w:name="_Hlt16619475"/>
      <w:r/>
      <w:bookmarkEnd w:id="62"/>
      <w:r/>
      <w:bookmarkStart w:id="63" w:name="_Toc458694821"/>
      <w:r/>
      <w:bookmarkStart w:id="64" w:name="_Toc20823276"/>
      <w:r/>
      <w:bookmarkStart w:id="65" w:name="_Toc513029204"/>
      <w:r/>
      <w:bookmarkStart w:id="66" w:name="_Toc16938520"/>
      <w:r>
        <w:rPr>
          <w:rFonts w:hint="eastAsia" w:ascii="方正楷体_GBK" w:hAnsi="方正楷体_GBK" w:eastAsia="方正楷体_GBK" w:cs="方正楷体_GBK"/>
          <w:b/>
          <w:bCs/>
          <w:color w:val="000000"/>
          <w:sz w:val="28"/>
          <w:szCs w:val="28"/>
          <w:highlight w:val="none"/>
        </w:rPr>
        <w:t xml:space="preserve">1</w:t>
      </w:r>
      <w:bookmarkEnd w:id="63"/>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bookmarkEnd w:id="64"/>
      <w:r/>
      <w:bookmarkEnd w:id="65"/>
      <w:r/>
      <w:bookmarkEnd w:id="66"/>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67" w:name="_Toc20823277"/>
      <w:r/>
      <w:bookmarkStart w:id="68" w:name="_Toc16938521"/>
      <w:r/>
      <w:bookmarkStart w:id="69" w:name="_Toc513029205"/>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bookmarkEnd w:id="67"/>
      <w:r/>
      <w:bookmarkEnd w:id="68"/>
      <w:r/>
      <w:bookmarkEnd w:id="69"/>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0" w:name="_Toc16938522"/>
      <w:r/>
      <w:bookmarkStart w:id="71" w:name="_Toc20823278"/>
      <w:r/>
      <w:bookmarkStart w:id="72" w:name="_Toc513029206"/>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bookmarkEnd w:id="70"/>
      <w:r/>
      <w:bookmarkEnd w:id="71"/>
      <w:r/>
      <w:bookmarkEnd w:id="72"/>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73" w:name="_Toc20823279"/>
      <w:r/>
      <w:bookmarkStart w:id="74" w:name="_Toc513029207"/>
      <w:r/>
      <w:bookmarkStart w:id="75" w:name="_Toc16938523"/>
      <w:r/>
      <w:bookmarkStart w:id="76" w:name="_Toc462564067"/>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bookmarkEnd w:id="73"/>
      <w:r/>
      <w:bookmarkEnd w:id="74"/>
      <w:r/>
      <w:bookmarkEnd w:id="75"/>
      <w:r/>
      <w:bookmarkEnd w:id="76"/>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7" w:name="_Toc513029209"/>
      <w:r/>
      <w:bookmarkStart w:id="78" w:name="_Toc16938525"/>
      <w:r/>
      <w:bookmarkStart w:id="79" w:name="_Toc20823281"/>
      <w:r/>
      <w:bookmarkStart w:id="80"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1" w:name="_Toc513029210"/>
      <w:r/>
      <w:bookmarkStart w:id="82" w:name="_Toc16938526"/>
      <w:r/>
      <w:bookmarkStart w:id="83" w:name="_Toc20823282"/>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bookmarkEnd w:id="81"/>
      <w:r/>
      <w:bookmarkEnd w:id="82"/>
      <w:r/>
      <w:bookmarkEnd w:id="83"/>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4" w:name="_Toc462564070"/>
      <w:r/>
      <w:bookmarkStart w:id="85" w:name="_Toc16938527"/>
      <w:r/>
      <w:bookmarkStart w:id="86" w:name="_Toc20823283"/>
      <w:r/>
      <w:bookmarkStart w:id="87" w:name="_Toc513029211"/>
      <w:r>
        <w:rPr>
          <w:rFonts w:hint="eastAsia" w:ascii="方正楷体_GBK" w:hAnsi="方正楷体_GBK" w:eastAsia="方正楷体_GBK" w:cs="方正楷体_GBK"/>
          <w:b/>
          <w:bCs/>
          <w:color w:val="000000"/>
          <w:sz w:val="28"/>
          <w:szCs w:val="28"/>
          <w:highlight w:val="none"/>
        </w:rPr>
        <w:t xml:space="preserve">7</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招标文件的澄清</w:t>
      </w:r>
      <w:bookmarkEnd w:id="84"/>
      <w:r/>
      <w:bookmarkEnd w:id="85"/>
      <w:r/>
      <w:bookmarkEnd w:id="86"/>
      <w:r/>
      <w:bookmarkEnd w:id="87"/>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88" w:name="_Toc462564071"/>
      <w:r/>
      <w:bookmarkStart w:id="89" w:name="_Toc513029212"/>
      <w:r/>
      <w:bookmarkStart w:id="90" w:name="_Toc20823284"/>
      <w:r/>
      <w:bookmarkStart w:id="91" w:name="_Toc16938528"/>
      <w:r>
        <w:rPr>
          <w:rFonts w:hint="eastAsia" w:ascii="方正楷体_GBK" w:hAnsi="方正楷体_GBK" w:eastAsia="方正楷体_GBK" w:cs="方正楷体_GBK"/>
          <w:b/>
          <w:bCs/>
          <w:color w:val="000000"/>
          <w:sz w:val="28"/>
          <w:szCs w:val="28"/>
          <w:highlight w:val="none"/>
        </w:rPr>
        <w:t xml:space="preserve">8</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招标文件的修改</w:t>
      </w:r>
      <w:bookmarkEnd w:id="88"/>
      <w:r/>
      <w:bookmarkEnd w:id="89"/>
      <w:r/>
      <w:bookmarkEnd w:id="90"/>
      <w:r/>
      <w:bookmarkEnd w:id="91"/>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92" w:name="_Toc20823285"/>
      <w:r/>
      <w:bookmarkStart w:id="93" w:name="_Toc513029213"/>
      <w:r/>
      <w:bookmarkStart w:id="94" w:name="_Toc120614216"/>
      <w:r/>
      <w:bookmarkStart w:id="95" w:name="_Toc16938529"/>
      <w:r/>
      <w:bookmarkStart w:id="96" w:name="_Toc462564072"/>
      <w:r>
        <w:rPr>
          <w:rFonts w:hint="eastAsia" w:ascii="宋体" w:hAnsi="宋体" w:eastAsia="宋体" w:cs="Times New Roman"/>
          <w:color w:val="000000"/>
          <w:sz w:val="24"/>
          <w:highlight w:val="none"/>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交易中心有权按照法定的要求推迟投标截止日期和开标日期，并在原公告媒体发布更正公告。</w:t>
      </w:r>
      <w:r>
        <w:rPr>
          <w:rFonts w:hint="eastAsia" w:ascii="宋体" w:hAnsi="宋体" w:eastAsia="宋体" w:cs="Times New Roman"/>
          <w:color w:val="000000"/>
          <w:sz w:val="24"/>
          <w:highlight w:val="none"/>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97" w:name="_Toc16938530"/>
      <w:r/>
      <w:bookmarkStart w:id="98" w:name="_Toc462564073"/>
      <w:r/>
      <w:bookmarkStart w:id="99" w:name="_Toc20823286"/>
      <w:r/>
      <w:bookmarkStart w:id="100" w:name="_Toc513029214"/>
      <w:r>
        <w:rPr>
          <w:rFonts w:hint="eastAsia" w:ascii="方正楷体_GBK" w:hAnsi="方正楷体_GBK" w:eastAsia="方正楷体_GBK" w:cs="方正楷体_GBK"/>
          <w:b/>
          <w:bCs/>
          <w:color w:val="000000"/>
          <w:sz w:val="28"/>
          <w:szCs w:val="28"/>
          <w:highlight w:val="none"/>
        </w:rPr>
        <w:t xml:space="preserve">9</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投标文件的语言及度量衡单位</w:t>
      </w:r>
      <w:bookmarkEnd w:id="97"/>
      <w:r/>
      <w:bookmarkEnd w:id="98"/>
      <w:r/>
      <w:bookmarkEnd w:id="99"/>
      <w:r/>
      <w:bookmarkEnd w:id="100"/>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9.2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1" w:name="_Toc513029215"/>
      <w:r/>
      <w:bookmarkStart w:id="102" w:name="_Toc20823287"/>
      <w:r/>
      <w:bookmarkStart w:id="103" w:name="_Toc16938531"/>
      <w:r/>
      <w:bookmarkStart w:id="104" w:name="_Toc462564074"/>
      <w:r>
        <w:rPr>
          <w:rFonts w:hint="eastAsia" w:ascii="方正楷体_GBK" w:hAnsi="方正楷体_GBK" w:eastAsia="方正楷体_GBK" w:cs="方正楷体_GBK"/>
          <w:b/>
          <w:bCs/>
          <w:color w:val="000000"/>
          <w:sz w:val="28"/>
          <w:szCs w:val="28"/>
          <w:highlight w:val="none"/>
        </w:rPr>
        <w:t xml:space="preserve">10</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投标文件构成</w:t>
      </w:r>
      <w:bookmarkEnd w:id="101"/>
      <w:r/>
      <w:bookmarkEnd w:id="102"/>
      <w:r/>
      <w:bookmarkEnd w:id="103"/>
      <w:r/>
      <w:bookmarkEnd w:id="104"/>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10.1 投标人编写的投标文件应包括资格证明文件、符合性证明文件、</w:t>
      </w:r>
      <w:r>
        <w:rPr>
          <w:rFonts w:hint="eastAsia" w:ascii="宋体" w:hAnsi="宋体" w:eastAsia="宋体" w:cs="Times New Roman"/>
          <w:color w:val="000000"/>
          <w:sz w:val="24"/>
          <w:szCs w:val="22"/>
          <w:highlight w:val="none"/>
          <w:lang w:val="en-US" w:eastAsia="zh-CN"/>
        </w:rPr>
        <w:t xml:space="preserve">投标分项报价表</w:t>
      </w:r>
      <w:r>
        <w:rPr>
          <w:rFonts w:hint="eastAsia" w:ascii="宋体" w:hAnsi="宋体" w:eastAsia="宋体" w:cs="Times New Roman"/>
          <w:color w:val="000000"/>
          <w:sz w:val="24"/>
          <w:szCs w:val="22"/>
          <w:highlight w:val="none"/>
        </w:rPr>
        <w:t xml:space="preserve">、响应及偏离表、其他证明文件、投标函、开标一览表等部分。</w:t>
      </w:r>
      <w:r>
        <w:rPr>
          <w:rFonts w:hint="eastAsia" w:ascii="宋体" w:hAnsi="宋体" w:eastAsia="宋体" w:cs="Times New Roman"/>
          <w:color w:val="000000"/>
          <w:sz w:val="24"/>
          <w:szCs w:val="22"/>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szCs w:val="22"/>
          <w:highlight w:val="none"/>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2"/>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05" w:name="_Hlt26954838"/>
      <w:r/>
      <w:bookmarkEnd w:id="105"/>
      <w:r/>
      <w:bookmarkStart w:id="106" w:name="_Toc49090509"/>
      <w:r/>
      <w:bookmarkStart w:id="107" w:name="_Toc513029219"/>
      <w:r/>
      <w:bookmarkStart w:id="108" w:name="_Toc14577357"/>
      <w:r/>
      <w:bookmarkStart w:id="109" w:name="_Toc513029216"/>
      <w:r/>
      <w:bookmarkStart w:id="110" w:name="_Toc14577354"/>
      <w:r/>
      <w:bookmarkStart w:id="111" w:name="_Toc49090507"/>
      <w:r/>
      <w:bookmarkStart w:id="112" w:name="_Hlt26668975"/>
      <w:r/>
      <w:bookmarkEnd w:id="112"/>
      <w:r/>
      <w:bookmarkStart w:id="113" w:name="_Hlt26670360"/>
      <w:r/>
      <w:bookmarkEnd w:id="113"/>
      <w:r>
        <w:rPr>
          <w:rFonts w:hint="eastAsia" w:ascii="方正楷体_GBK" w:hAnsi="方正楷体_GBK" w:eastAsia="方正楷体_GBK" w:cs="方正楷体_GBK"/>
          <w:b/>
          <w:bCs/>
          <w:color w:val="000000"/>
          <w:sz w:val="28"/>
          <w:szCs w:val="28"/>
          <w:highlight w:val="none"/>
        </w:rPr>
        <w:t xml:space="preserve">11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证明投标人及投标标的符合招标文件规定的文件</w:t>
      </w:r>
      <w:bookmarkEnd w:id="106"/>
      <w:r/>
      <w:bookmarkEnd w:id="107"/>
      <w:r/>
      <w:bookmarkEnd w:id="108"/>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9"/>
      <w:r/>
      <w:bookmarkEnd w:id="110"/>
      <w:r/>
      <w:bookmarkEnd w:id="111"/>
      <w:r/>
      <w:bookmarkStart w:id="114" w:name="_Toc49090508"/>
      <w:r/>
      <w:bookmarkStart w:id="115"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招标文件对证明文件无明确形式要求的，证明文件可以以文字资料、图纸和数据等形式提交。</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12</w:t>
      </w:r>
      <w:bookmarkEnd w:id="114"/>
      <w:r/>
      <w:bookmarkEnd w:id="115"/>
      <w:r>
        <w:rPr>
          <w:rFonts w:hint="eastAsia" w:ascii="方正楷体_GBK" w:hAnsi="方正楷体_GBK" w:eastAsia="方正楷体_GBK" w:cs="方正楷体_GBK"/>
          <w:b/>
          <w:bCs/>
          <w:color w:val="000000"/>
          <w:sz w:val="28"/>
          <w:szCs w:val="28"/>
          <w:highlight w:val="none"/>
          <w:lang w:val="en-US" w:eastAsia="zh-CN"/>
        </w:rPr>
        <w:t xml:space="preserve">.投标分项报价表（如有）</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6" w:name="_Hlt26954840"/>
      <w:r/>
      <w:bookmarkEnd w:id="116"/>
      <w:r>
        <w:rPr>
          <w:rFonts w:hint="eastAsia" w:ascii="宋体" w:hAnsi="宋体" w:eastAsia="宋体" w:cs="Times New Roman"/>
          <w:color w:val="000000"/>
          <w:sz w:val="24"/>
          <w:highlight w:val="none"/>
        </w:rPr>
        <w:t xml:space="preserve">标人应按照招标文件规定格式填报</w:t>
      </w:r>
      <w:bookmarkStart w:id="117" w:name="_Hlt26670399"/>
      <w:r/>
      <w:bookmarkEnd w:id="117"/>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18" w:name="_Hlt26954842"/>
      <w:r/>
      <w:bookmarkEnd w:id="118"/>
      <w:r/>
      <w:bookmarkStart w:id="119" w:name="_Hlt26670425"/>
      <w:r/>
      <w:bookmarkEnd w:id="119"/>
      <w:r/>
      <w:bookmarkStart w:id="120" w:name="_Hlt26954848"/>
      <w:r/>
      <w:bookmarkEnd w:id="120"/>
      <w:r/>
      <w:bookmarkStart w:id="121" w:name="_Hlt26670482"/>
      <w:r/>
      <w:bookmarkEnd w:id="121"/>
      <w:r/>
      <w:bookmarkStart w:id="122" w:name="_Hlt26670486"/>
      <w:r/>
      <w:bookmarkEnd w:id="122"/>
      <w:r/>
      <w:bookmarkStart w:id="123" w:name="_Hlt26668983"/>
      <w:r/>
      <w:bookmarkEnd w:id="123"/>
      <w:r/>
      <w:bookmarkStart w:id="124" w:name="_Hlt26954731"/>
      <w:r/>
      <w:bookmarkEnd w:id="124"/>
      <w:r/>
      <w:bookmarkStart w:id="125" w:name="_Hlt26954844"/>
      <w:r/>
      <w:bookmarkEnd w:id="125"/>
      <w:r/>
      <w:bookmarkStart w:id="126" w:name="_Hlt26954846"/>
      <w:r/>
      <w:bookmarkEnd w:id="126"/>
      <w:r/>
      <w:bookmarkStart w:id="127" w:name="_Hlt26670403"/>
      <w:r/>
      <w:bookmarkEnd w:id="127"/>
      <w:r>
        <w:rPr>
          <w:rFonts w:hint="eastAsia" w:ascii="方正楷体_GBK" w:hAnsi="方正楷体_GBK" w:eastAsia="方正楷体_GBK" w:cs="方正楷体_GBK"/>
          <w:b/>
          <w:bCs/>
          <w:color w:val="000000"/>
          <w:sz w:val="28"/>
          <w:szCs w:val="28"/>
          <w:highlight w:val="none"/>
        </w:rPr>
        <w:t xml:space="preserve">13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Start w:id="128" w:name="_Toc14577359"/>
      <w:r/>
      <w:bookmarkStart w:id="129" w:name="_Toc49090510"/>
      <w:r>
        <w:rPr>
          <w:rFonts w:hint="eastAsia" w:ascii="方正楷体_GBK" w:hAnsi="方正楷体_GBK" w:eastAsia="方正楷体_GBK" w:cs="方正楷体_GBK"/>
          <w:b/>
          <w:bCs/>
          <w:color w:val="000000"/>
          <w:sz w:val="28"/>
          <w:szCs w:val="28"/>
          <w:highlight w:val="none"/>
        </w:rPr>
        <w:t xml:space="preserve">14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投标函和开标一览表</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w:t>
      </w:r>
      <w:r>
        <w:rPr>
          <w:rFonts w:hint="eastAsia" w:ascii="宋体" w:hAnsi="宋体" w:eastAsia="宋体" w:cs="Times New Roman"/>
          <w:color w:val="000000"/>
          <w:sz w:val="24"/>
          <w:highlight w:val="none"/>
          <w:lang w:val="en-US" w:eastAsia="zh-CN"/>
        </w:rPr>
        <w:t xml:space="preserve">投标分项报价表</w:t>
      </w:r>
      <w:r>
        <w:rPr>
          <w:rFonts w:hint="eastAsia" w:ascii="宋体" w:hAnsi="宋体" w:eastAsia="宋体" w:cs="Times New Roman"/>
          <w:color w:val="000000"/>
          <w:sz w:val="24"/>
          <w:highlight w:val="none"/>
          <w:lang w:val="zh-CN"/>
        </w:rPr>
        <w:t xml:space="preserve">中的投标总报价一致，如不一致评标时以开标一览表中价格为准。</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bookmarkEnd w:id="128"/>
      <w:r/>
      <w:bookmarkEnd w:id="129"/>
      <w:r/>
      <w:bookmarkStart w:id="130" w:name="_Toc14577360"/>
      <w:r/>
      <w:bookmarkStart w:id="131" w:name="_Toc49090511"/>
      <w:r/>
      <w:bookmarkStart w:id="132" w:name="_Hlt26954734"/>
      <w:r/>
      <w:bookmarkEnd w:id="132"/>
      <w:r/>
      <w:bookmarkStart w:id="133" w:name="_Hlt26954850"/>
      <w:r/>
      <w:bookmarkEnd w:id="133"/>
      <w:r/>
      <w:bookmarkStart w:id="134" w:name="_Hlt26670489"/>
      <w:r/>
      <w:bookmarkEnd w:id="134"/>
      <w:r>
        <w:rPr>
          <w:rFonts w:hint="eastAsia" w:ascii="方正楷体_GBK" w:hAnsi="方正楷体_GBK" w:eastAsia="方正楷体_GBK" w:cs="方正楷体_GBK"/>
          <w:b/>
          <w:bCs/>
          <w:color w:val="000000"/>
          <w:sz w:val="28"/>
          <w:szCs w:val="28"/>
          <w:highlight w:val="none"/>
        </w:rPr>
        <w:t xml:space="preserve">15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w:t>
      </w:r>
      <w:bookmarkEnd w:id="130"/>
      <w:r/>
      <w:bookmarkEnd w:id="131"/>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5" w:name="_Toc16938540"/>
      <w:r/>
      <w:bookmarkStart w:id="136" w:name="_Toc20823296"/>
      <w:r/>
      <w:bookmarkStart w:id="137" w:name="_Toc20823309"/>
      <w:r/>
      <w:bookmarkStart w:id="138" w:name="_Hlt26954852"/>
      <w:r/>
      <w:bookmarkEnd w:id="138"/>
      <w:r/>
      <w:bookmarkStart w:id="139" w:name="_Toc120614217"/>
      <w:r/>
      <w:bookmarkStart w:id="140" w:name="_Toc513029224"/>
      <w:r/>
      <w:bookmarkStart w:id="141" w:name="_Hlt26954739"/>
      <w:r/>
      <w:bookmarkEnd w:id="141"/>
      <w:r/>
      <w:bookmarkStart w:id="142" w:name="_Toc16938553"/>
      <w:r/>
      <w:bookmarkStart w:id="143" w:name="_Toc513029237"/>
      <w:r>
        <w:rPr>
          <w:rFonts w:hint="eastAsia" w:ascii="方正黑体_GBK" w:hAnsi="方正黑体_GBK" w:eastAsia="方正黑体_GBK" w:cs="方正黑体_GBK"/>
          <w:b w:val="0"/>
          <w:bCs w:val="0"/>
          <w:color w:val="000000"/>
          <w:sz w:val="30"/>
          <w:szCs w:val="30"/>
          <w:highlight w:val="none"/>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4" w:name="_Toc20823297"/>
      <w:r/>
      <w:bookmarkStart w:id="145" w:name="_Toc16938541"/>
      <w:r/>
      <w:bookmarkStart w:id="146" w:name="_Toc462564084"/>
      <w:r/>
      <w:bookmarkStart w:id="147" w:name="_Toc513029225"/>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4"/>
      <w:r/>
      <w:bookmarkEnd w:id="145"/>
      <w:r/>
      <w:bookmarkEnd w:id="146"/>
      <w:r/>
      <w:bookmarkEnd w:id="147"/>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8" w:name="_Toc513029226"/>
      <w:r/>
      <w:bookmarkStart w:id="149" w:name="_Toc20823298"/>
      <w:r/>
      <w:bookmarkStart w:id="150" w:name="_Toc16938542"/>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8"/>
      <w:r/>
      <w:bookmarkEnd w:id="149"/>
      <w:r/>
      <w:bookmarkEnd w:id="150"/>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1" w:name="_Toc16938543"/>
      <w:r/>
      <w:bookmarkStart w:id="152" w:name="_Toc20823299"/>
      <w:r/>
      <w:bookmarkStart w:id="153" w:name="_Toc513029227"/>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51"/>
      <w:r/>
      <w:bookmarkEnd w:id="152"/>
      <w:r/>
      <w:bookmarkEnd w:id="153"/>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4" w:name="_Toc20823300"/>
      <w:r/>
      <w:bookmarkStart w:id="155" w:name="_Toc513029228"/>
      <w:r/>
      <w:bookmarkStart w:id="156" w:name="_Toc16938544"/>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54"/>
      <w:r/>
      <w:bookmarkEnd w:id="155"/>
      <w:r/>
      <w:bookmarkEnd w:id="156"/>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57" w:name="_Toc513029229"/>
      <w:r/>
      <w:bookmarkStart w:id="158" w:name="_Toc120614218"/>
      <w:r/>
      <w:bookmarkStart w:id="159" w:name="_Toc20823301"/>
      <w:r/>
      <w:bookmarkStart w:id="160" w:name="_Toc16938545"/>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1" w:name="_Toc20823302"/>
      <w:r/>
      <w:bookmarkStart w:id="162" w:name="_Toc16938546"/>
      <w:r/>
      <w:bookmarkStart w:id="163" w:name="_Toc513029230"/>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61"/>
      <w:r/>
      <w:bookmarkEnd w:id="162"/>
      <w:r/>
      <w:bookmarkEnd w:id="163"/>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4" w:name="_Toc20823303"/>
      <w:r/>
      <w:bookmarkStart w:id="165" w:name="_Toc16938547"/>
      <w:r/>
      <w:bookmarkStart w:id="166" w:name="_Toc513029231"/>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w:t>
      </w:r>
      <w:r>
        <w:rPr>
          <w:rFonts w:hint="eastAsia" w:ascii="宋体" w:hAnsi="宋体" w:eastAsia="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64"/>
      <w:r/>
      <w:bookmarkEnd w:id="165"/>
      <w:r/>
      <w:bookmarkEnd w:id="166"/>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投标人不得以任何方式影响评标，否则其投标文件将被作为无效投标文件。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67" w:name="_Toc20823304"/>
      <w:r/>
      <w:bookmarkStart w:id="168" w:name="_Toc513029232"/>
      <w:r/>
      <w:bookmarkStart w:id="169" w:name="_Toc16938548"/>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67"/>
      <w:r/>
      <w:bookmarkEnd w:id="168"/>
      <w:r/>
      <w:bookmarkEnd w:id="169"/>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70" w:name="_Toc513029233"/>
      <w:r/>
      <w:bookmarkStart w:id="171" w:name="_Toc16938549"/>
      <w:r/>
      <w:bookmarkStart w:id="172" w:name="_Toc208233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70"/>
      <w:r/>
      <w:bookmarkEnd w:id="171"/>
      <w:r/>
      <w:bookmarkEnd w:id="172"/>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zh-CN"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69"/>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zh-CN"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3" w:name="_Toc513029234"/>
      <w:r/>
      <w:bookmarkStart w:id="174" w:name="_Toc20823306"/>
      <w:r/>
      <w:bookmarkStart w:id="175"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69"/>
        <w:ind w:firstLine="420"/>
        <w:spacing w:line="240" w:lineRule="auto"/>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highlight w:val="none"/>
          <w:lang w:val="zh-CN" w:eastAsia="zh-CN"/>
        </w:rPr>
        <w:t xml:space="preserve">24.7 </w:t>
      </w:r>
      <w:r>
        <w:rPr>
          <w:rFonts w:hint="eastAsia" w:ascii="宋体" w:hAnsi="宋体" w:eastAsia="宋体" w:cs="Times New Roman"/>
          <w:color w:val="000000"/>
          <w:sz w:val="24"/>
          <w:szCs w:val="21"/>
          <w:highlight w:val="none"/>
          <w:lang w:val="zh-CN"/>
        </w:rPr>
        <w:t xml:space="preserve">异常低价投标审查</w:t>
      </w:r>
      <w:r>
        <w:rPr>
          <w:rFonts w:hint="eastAsia" w:ascii="宋体" w:hAnsi="宋体" w:eastAsia="宋体" w:cs="Times New Roman"/>
          <w:color w:val="000000"/>
          <w:sz w:val="24"/>
          <w:szCs w:val="21"/>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应当启动异常低价投标审查程序：</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u w:val="single"/>
          <w:lang w:val="en-US" w:eastAsia="zh-CN"/>
        </w:rPr>
        <w:t xml:space="preserve">%</w:t>
      </w:r>
      <w:r>
        <w:rPr>
          <w:rFonts w:hint="eastAsia" w:ascii="宋体" w:hAnsi="宋体" w:eastAsia="宋体" w:cs="Times New Roman"/>
          <w:color w:val="000000"/>
          <w:sz w:val="24"/>
          <w:szCs w:val="22"/>
          <w:highlight w:val="none"/>
          <w:lang w:val="zh-CN"/>
        </w:rPr>
        <w:t xml:space="preserve">的，即投标报价&lt;全部通过符合性审查供应商投标报价平均值×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的，即投标报价&lt;通过符合性审查的次低报价供应商投标报价×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en-US" w:eastAsia="zh-CN"/>
        </w:rPr>
        <w:t xml:space="preserve">45</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9"/>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9"/>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7</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869"/>
        <w:spacing w:line="240" w:lineRule="auto"/>
        <w:rPr>
          <w:rFonts w:hint="eastAsia"/>
          <w:color w:val="000000"/>
          <w:highlight w:val="none"/>
          <w:lang w:val="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color w:val="000000"/>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73"/>
      <w:r/>
      <w:bookmarkEnd w:id="174"/>
      <w:r/>
      <w:bookmarkEnd w:id="175"/>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76" w:name="_Toc20823307"/>
      <w:r/>
      <w:bookmarkStart w:id="177" w:name="_Toc16938551"/>
      <w:r/>
      <w:bookmarkStart w:id="178" w:name="_Toc513029235"/>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不符合招标文件中实质性要求和条件的</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b/>
          <w:bCs/>
          <w:i w:val="0"/>
          <w:iCs/>
          <w:color w:val="000000"/>
          <w:sz w:val="24"/>
          <w:szCs w:val="22"/>
          <w:highlight w:val="none"/>
          <w:u w:val="none"/>
          <w:lang w:val="zh-CN"/>
        </w:rPr>
        <w:t xml:space="preserve">本文件中斜体且有下划线部分，或者打“</w:t>
      </w:r>
      <w:r>
        <w:rPr>
          <w:rFonts w:hint="eastAsia" w:ascii="宋体" w:hAnsi="宋体" w:eastAsia="宋体" w:cs="Times New Roman"/>
          <w:b/>
          <w:bCs/>
          <w:i w:val="0"/>
          <w:iCs/>
          <w:color w:val="000000"/>
          <w:sz w:val="24"/>
          <w:szCs w:val="22"/>
          <w:highlight w:val="none"/>
          <w:u w:val="none"/>
          <w:lang w:val="en-US" w:eastAsia="zh-CN"/>
        </w:rPr>
        <w:t xml:space="preserve">★</w:t>
      </w:r>
      <w:r>
        <w:rPr>
          <w:rFonts w:hint="eastAsia" w:ascii="宋体" w:hAnsi="宋体" w:eastAsia="宋体" w:cs="Times New Roman"/>
          <w:b/>
          <w:bCs/>
          <w:i w:val="0"/>
          <w:iCs/>
          <w:color w:val="000000"/>
          <w:sz w:val="24"/>
          <w:szCs w:val="22"/>
          <w:highlight w:val="none"/>
          <w:u w:val="none"/>
          <w:lang w:val="zh-CN"/>
        </w:rPr>
        <w:t xml:space="preserve">”内容为实质性要求和条件</w:t>
      </w:r>
      <w:r>
        <w:rPr>
          <w:rFonts w:hint="eastAsia" w:ascii="宋体" w:hAnsi="宋体" w:eastAsia="宋体" w:cs="Times New Roman"/>
          <w:b w:val="0"/>
          <w:bCs w:val="0"/>
          <w:i w:val="0"/>
          <w:iCs/>
          <w:color w:val="000000"/>
          <w:sz w:val="24"/>
          <w:szCs w:val="22"/>
          <w:highlight w:val="none"/>
          <w:u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val="0"/>
          <w:bCs w:val="0"/>
          <w:color w:val="000000"/>
          <w:sz w:val="24"/>
          <w:highlight w:val="none"/>
          <w:lang w:val="zh-CN"/>
        </w:rPr>
        <w:t xml:space="preserve">2</w:t>
      </w:r>
      <w:r>
        <w:rPr>
          <w:rFonts w:hint="eastAsia" w:ascii="宋体" w:hAnsi="宋体" w:eastAsia="宋体" w:cs="Times New Roman"/>
          <w:b w:val="0"/>
          <w:bCs w:val="0"/>
          <w:color w:val="000000"/>
          <w:sz w:val="24"/>
          <w:highlight w:val="none"/>
          <w:lang w:val="en-US" w:eastAsia="zh-CN"/>
        </w:rPr>
        <w:t xml:space="preserve">5</w:t>
      </w:r>
      <w:r>
        <w:rPr>
          <w:rFonts w:hint="eastAsia" w:ascii="宋体" w:hAnsi="宋体" w:eastAsia="宋体" w:cs="Times New Roman"/>
          <w:b w:val="0"/>
          <w:bCs w:val="0"/>
          <w:color w:val="000000"/>
          <w:sz w:val="24"/>
          <w:highlight w:val="none"/>
          <w:lang w:val="zh-CN"/>
        </w:rPr>
        <w:t xml:space="preserve">.1.10</w:t>
      </w:r>
      <w:r>
        <w:rPr>
          <w:rFonts w:hint="eastAsia" w:ascii="宋体" w:hAnsi="宋体" w:eastAsia="宋体" w:cs="Times New Roman"/>
          <w:b w:val="0"/>
          <w:bCs w:val="0"/>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按照本招标文件规定对投标人进行异常低价投标审查后，认为投标人不能证明其报价合理性的。</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采购产品被财政部、国家发改委、生态环境部等列入“节能产品品目清单”强制采购范围，而投标人提供的产品不在强制采购范围内。</w:t>
      </w:r>
      <w:r>
        <w:rPr>
          <w:rFonts w:hint="eastAsia" w:ascii="宋体" w:hAnsi="宋体" w:eastAsia="宋体" w:cs="Times New Roman"/>
          <w:b w:val="0"/>
          <w:bCs w:val="0"/>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en-US"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69"/>
        <w:ind w:firstLine="422"/>
        <w:keepLines w:val="0"/>
        <w:keepNext w:val="0"/>
        <w:pageBreakBefore w:val="0"/>
        <w:spacing w:line="240" w:lineRule="auto"/>
        <w:widowControl w:val="off"/>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如出现25.2.1或25.3情形，招标活动失败，评审委员会</w:t>
      </w:r>
      <w:r>
        <w:rPr>
          <w:rFonts w:hint="eastAsia" w:ascii="宋体" w:hAnsi="宋体" w:eastAsia="宋体" w:cs="Times New Roman"/>
          <w:b/>
          <w:bCs/>
          <w:color w:val="000000"/>
          <w:sz w:val="24"/>
          <w:highlight w:val="none"/>
          <w:lang w:val="en-US" w:eastAsia="zh-CN"/>
        </w:rPr>
        <w:t xml:space="preserve">应对</w:t>
      </w:r>
      <w:r>
        <w:rPr>
          <w:rFonts w:hint="eastAsia" w:ascii="宋体" w:hAnsi="宋体" w:eastAsia="宋体" w:cs="Times New Roman"/>
          <w:b/>
          <w:bCs/>
          <w:color w:val="000000"/>
          <w:sz w:val="24"/>
          <w:highlight w:val="none"/>
          <w:lang w:val="zh-CN" w:eastAsia="zh-CN"/>
        </w:rPr>
        <w:t xml:space="preserve">招标文件是否存在不合理条款</w:t>
      </w:r>
      <w:r>
        <w:rPr>
          <w:rFonts w:hint="eastAsia" w:ascii="宋体" w:hAnsi="宋体" w:eastAsia="宋体" w:cs="Times New Roman"/>
          <w:b/>
          <w:bCs/>
          <w:color w:val="000000"/>
          <w:sz w:val="24"/>
          <w:highlight w:val="none"/>
          <w:lang w:val="en-US" w:eastAsia="zh-CN"/>
        </w:rPr>
        <w:t xml:space="preserve">进行论证，并在评审报告中写明</w:t>
      </w:r>
      <w:r>
        <w:rPr>
          <w:rFonts w:hint="eastAsia" w:ascii="宋体" w:hAnsi="宋体" w:eastAsia="宋体" w:cs="Times New Roman"/>
          <w:b/>
          <w:bCs/>
          <w:color w:val="000000"/>
          <w:sz w:val="24"/>
          <w:highlight w:val="none"/>
          <w:lang w:val="zh-CN" w:eastAsia="zh-CN"/>
        </w:rPr>
        <w:t xml:space="preserve">论证意见。</w:t>
      </w:r>
      <w:r>
        <w:rPr>
          <w:rFonts w:ascii="宋体" w:hAnsi="宋体" w:eastAsia="宋体" w:cs="Times New Roman"/>
          <w:b/>
          <w:bCs/>
          <w:color w:val="000000"/>
          <w:sz w:val="24"/>
          <w:highlight w:val="none"/>
          <w:lang w:val="en-US"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End w:id="137"/>
      <w:r/>
      <w:bookmarkEnd w:id="142"/>
      <w:r/>
      <w:bookmarkEnd w:id="143"/>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highlight w:val="none"/>
        </w:rPr>
        <w:t xml:space="preserve">六、定标</w:t>
      </w:r>
      <w:bookmarkEnd w:id="179"/>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80" w:name="_Toc20823310"/>
      <w:r/>
      <w:bookmarkStart w:id="181" w:name="_Toc513029238"/>
      <w:r/>
      <w:bookmarkStart w:id="182" w:name="_Toc16938554"/>
      <w:r>
        <w:rPr>
          <w:rFonts w:hint="eastAsia" w:ascii="方正楷体_GBK" w:hAnsi="方正楷体_GBK" w:eastAsia="方正楷体_GBK" w:cs="方正楷体_GBK"/>
          <w:b/>
          <w:bCs/>
          <w:color w:val="000000"/>
          <w:highlight w:val="none"/>
        </w:rPr>
        <w:t xml:space="preserve">2</w:t>
      </w:r>
      <w:bookmarkEnd w:id="181"/>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80"/>
      <w:r/>
      <w:bookmarkEnd w:id="182"/>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与其他供应商、评审专家、采购人或交易中心工作人员恶意串通。</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83"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84" w:name="_Toc120614220"/>
      <w:r/>
      <w:bookmarkStart w:id="185" w:name="_Toc513029236"/>
      <w:r/>
      <w:bookmarkStart w:id="186" w:name="_Toc16938552"/>
      <w:r/>
      <w:bookmarkStart w:id="187" w:name="_Toc20823308"/>
      <w:r>
        <w:rPr>
          <w:rFonts w:hint="eastAsia" w:ascii="方正黑体_GBK" w:hAnsi="方正黑体_GBK" w:eastAsia="方正黑体_GBK" w:cs="方正黑体_GBK"/>
          <w:b w:val="0"/>
          <w:bCs w:val="0"/>
          <w:color w:val="000000"/>
          <w:sz w:val="30"/>
          <w:szCs w:val="30"/>
          <w:highlight w:val="none"/>
        </w:rPr>
        <w:t xml:space="preserve">七、授予合同</w:t>
      </w:r>
      <w:bookmarkEnd w:id="184"/>
      <w:r>
        <w:rPr>
          <w:rFonts w:hint="eastAsia" w:ascii="方正黑体_GBK" w:hAnsi="方正黑体_GBK" w:eastAsia="方正黑体_GBK" w:cs="方正黑体_GBK"/>
          <w:b w:val="0"/>
          <w:bCs w:val="0"/>
          <w:color w:val="000000"/>
          <w:sz w:val="30"/>
          <w:szCs w:val="30"/>
          <w:highlight w:val="none"/>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5"/>
      <w:r/>
      <w:bookmarkEnd w:id="186"/>
      <w:r/>
      <w:bookmarkEnd w:id="18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（包含与</w:t>
      </w:r>
      <w:r>
        <w:rPr>
          <w:rFonts w:hint="eastAsia" w:ascii="宋体" w:hAnsi="宋体" w:cs="Times New Roman"/>
          <w:color w:val="000000"/>
          <w:sz w:val="24"/>
          <w:highlight w:val="none"/>
          <w:lang w:val="zh-CN" w:eastAsia="zh-CN"/>
        </w:rPr>
        <w:t xml:space="preserve">服务</w:t>
      </w:r>
      <w:r>
        <w:rPr>
          <w:rFonts w:hint="eastAsia" w:ascii="宋体" w:hAnsi="宋体" w:eastAsia="宋体" w:cs="Times New Roman"/>
          <w:color w:val="000000"/>
          <w:sz w:val="24"/>
          <w:highlight w:val="none"/>
          <w:lang w:val="zh-CN" w:eastAsia="zh-CN"/>
        </w:rPr>
        <w:t xml:space="preserve">相关的</w:t>
      </w:r>
      <w:r>
        <w:rPr>
          <w:rFonts w:hint="eastAsia" w:ascii="宋体" w:hAnsi="宋体" w:cs="Times New Roman"/>
          <w:color w:val="000000"/>
          <w:sz w:val="24"/>
          <w:highlight w:val="none"/>
          <w:lang w:val="zh-CN" w:eastAsia="zh-CN"/>
        </w:rPr>
        <w:t xml:space="preserve">货物</w:t>
      </w:r>
      <w:r>
        <w:rPr>
          <w:rFonts w:hint="eastAsia" w:ascii="宋体" w:hAnsi="宋体" w:eastAsia="宋体" w:cs="Times New Roman"/>
          <w:color w:val="000000"/>
          <w:sz w:val="24"/>
          <w:highlight w:val="none"/>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74"/>
        <w:ind w:firstLine="420"/>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南京市公共资源交易平台网站“小企业融资平台”，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3"/>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spacing w:line="240" w:lineRule="auto"/>
        <w:rPr>
          <w:rFonts w:hint="eastAsia" w:ascii="宋体" w:hAnsi="宋体" w:eastAsia="宋体" w:cs="Times New Roman"/>
          <w:b/>
          <w:bCs/>
          <w:color w:val="000000"/>
          <w:sz w:val="24"/>
          <w:highlight w:val="none"/>
          <w:lang w:val="zh-CN" w:eastAsia="zh-CN"/>
        </w:rPr>
      </w:pPr>
      <w:r>
        <w:rPr>
          <w:rFonts w:hint="eastAsia" w:ascii="宋体" w:hAnsi="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3"/>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4"/>
        <w:ind w:firstLine="420"/>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zh-CN" w:eastAsia="zh-CN"/>
        </w:rPr>
        <w:t xml:space="preserve">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zh-CN"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9"/>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进行验收，必要时可以委托依法取得检测、认证资质的机构进行检测、认证。</w:t>
      </w:r>
      <w:r>
        <w:rPr>
          <w:rFonts w:hint="eastAsia" w:ascii="宋体" w:hAnsi="宋体" w:eastAsia="宋体" w:cs="Times New Roman"/>
          <w:color w:val="000000"/>
          <w:sz w:val="24"/>
          <w:highlight w:val="none"/>
          <w:lang w:val="en-US"/>
        </w:rPr>
      </w:r>
      <w:r/>
    </w:p>
    <w:p>
      <w:pPr>
        <w:pStyle w:val="874"/>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69"/>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4"/>
        <w:ind w:firstLine="420"/>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3"/>
        <w:ind w:firstLine="420"/>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43.</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43.</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43.2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43.3本国产品标准的适用范围</w:t>
      </w:r>
      <w:r>
        <w:rPr>
          <w:rFonts w:hint="eastAsia" w:ascii="宋体" w:hAnsi="宋体" w:eastAsia="宋体" w:cs="Times New Roman"/>
          <w:color w:val="000000"/>
          <w:sz w:val="24"/>
          <w:highlight w:val="none"/>
          <w:lang w:val="zh-CN" w:eastAsia="zh-CN"/>
        </w:rPr>
      </w:r>
      <w:r/>
    </w:p>
    <w:p>
      <w:pPr>
        <w:pStyle w:val="869"/>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9"/>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43.4对本国产品的支持政策</w:t>
      </w:r>
      <w:r>
        <w:rPr>
          <w:rFonts w:ascii="宋体" w:hAnsi="宋体" w:eastAsia="宋体" w:cs="Times New Roman"/>
          <w:color w:val="000000"/>
          <w:sz w:val="24"/>
          <w:highlight w:val="none"/>
          <w:lang w:val="en-US" w:eastAsia="zh-CN"/>
        </w:rPr>
      </w:r>
      <w:r/>
    </w:p>
    <w:p>
      <w:pPr>
        <w:pStyle w:val="869"/>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9"/>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43.5政策执行要求</w:t>
      </w:r>
      <w:r>
        <w:rPr>
          <w:rFonts w:ascii="宋体" w:hAnsi="宋体" w:eastAsia="宋体" w:cs="Times New Roman"/>
          <w:b w:val="0"/>
          <w:bCs w:val="0"/>
          <w:color w:val="000000"/>
          <w:sz w:val="24"/>
          <w:highlight w:val="none"/>
          <w:lang w:val="en-US" w:eastAsia="zh-CN"/>
        </w:rPr>
      </w:r>
      <w:r/>
    </w:p>
    <w:p>
      <w:pPr>
        <w:pStyle w:val="869"/>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869"/>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9"/>
        <w:ind w:firstLine="420"/>
        <w:rPr>
          <w:color w:val="000000"/>
          <w:highlight w:val="none"/>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color w:val="000000"/>
          <w:highlight w:val="none"/>
        </w:rPr>
      </w:r>
      <w:r/>
    </w:p>
    <w:p>
      <w:pPr>
        <w:pStyle w:val="874"/>
        <w:ind w:firstLine="420"/>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4</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947"/>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188" w:name="_Toc513029243"/>
      <w:r/>
      <w:bookmarkStart w:id="189" w:name="_Toc20823315"/>
      <w:r/>
      <w:bookmarkStart w:id="190" w:name="_Toc1693855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7"/>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869"/>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69"/>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08"/>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本合同金额为（大写）：____________________圆（_________________元）人民币。</w:t>
      </w:r>
      <w:r>
        <w:rPr>
          <w:rFonts w:ascii="宋体" w:hAnsi="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w:t>
      </w:r>
      <w:r>
        <w:rPr>
          <w:rFonts w:hint="eastAsia" w:hAnsi="宋体" w:eastAsia="宋体" w:cs="Courier New"/>
          <w:color w:val="000000"/>
          <w:sz w:val="24"/>
          <w:szCs w:val="24"/>
          <w:highlight w:val="none"/>
          <w:lang w:val="en-US" w:eastAsia="zh-CN"/>
        </w:rPr>
        <w:t xml:space="preserve">7</w:t>
      </w:r>
      <w:r>
        <w:rPr>
          <w:rFonts w:hint="eastAsia" w:ascii="宋体" w:hAnsi="宋体" w:eastAsia="宋体" w:cs="Courier New"/>
          <w:color w:val="000000"/>
          <w:sz w:val="24"/>
          <w:szCs w:val="24"/>
          <w:highlight w:val="none"/>
          <w:lang w:val="en-US" w:eastAsia="zh-CN"/>
        </w:rPr>
        <w:t xml:space="preserve">0%。</w:t>
      </w:r>
      <w:r>
        <w:rPr>
          <w:rFonts w:hint="eastAsia" w:ascii="宋体" w:hAnsi="宋体" w:eastAsia="宋体" w:cs="Courier New"/>
          <w:color w:val="000000"/>
          <w:sz w:val="24"/>
          <w:szCs w:val="24"/>
          <w:highlight w:val="none"/>
          <w:lang w:val="en-US" w:eastAsia="zh-CN"/>
        </w:rPr>
      </w:r>
      <w:r/>
    </w:p>
    <w:p>
      <w:pPr>
        <w:pStyle w:val="908"/>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color w:val="000000"/>
          <w:highlight w:val="none"/>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08"/>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08"/>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88"/>
      <w:r/>
      <w:bookmarkEnd w:id="189"/>
      <w:r/>
      <w:bookmarkEnd w:id="190"/>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08"/>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08"/>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08"/>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08"/>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08"/>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08"/>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69"/>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08"/>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908"/>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r>
      <w:r/>
    </w:p>
    <w:p>
      <w:pPr>
        <w:pStyle w:val="993"/>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5"/>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1" w:name="_Toc26554093"/>
      <w:r/>
      <w:bookmarkStart w:id="192"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69"/>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精准医学研究与应用推动医学研究关注亚专业和专病，尤其为复杂疾病的科研突破和临床决策提供了支持。此类精细深入的研究和决策需要对专科和专病进行更全面、准确和大量的数据采集和存储。传统临床科研数据收集因采取人工录入而存在数据格式、标准不规范以及利用率、成果转化率较低等问题，无法满足日益增长的科研需求。各分支学科对专病数据集/队列建设有较强需求，通过建立专病数据库平台对医疗大数据进行整合与分析利用，以提高专科疾病医疗服务质量及跟踪疗效转归，进而规避和降低医疗风险、抑制医疗成本等。</w:t>
      </w:r>
      <w:r>
        <w:rPr>
          <w:rFonts w:hint="eastAsia" w:ascii="宋体" w:hAnsi="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在此背景下，亟需建设一个高性能、可扩展的科研专病库平台，作为科研数据的统一承载与分析枢纽，并为医院构建10个高质量的专病数据集，涵盖重点疾病的诊疗全流程信息，实现结构化、标准化、可追溯的数据管理与统计分析能力。联通医院内部残留的“信息孤岛”，共享全院专病信息。同时，平台架构与数据模型将预留扩展能力，支持未来根据临床与科研需求，持续增加其他病种的专病数据队列或数据集，形成长期可持续发展的科研数据体系。</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91"/>
        <w:tblW w:w="4823"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2"/>
        <w:gridCol w:w="1366"/>
        <w:gridCol w:w="760"/>
        <w:gridCol w:w="720"/>
        <w:gridCol w:w="1059"/>
        <w:gridCol w:w="1072"/>
        <w:gridCol w:w="2859"/>
        <w:gridCol w:w="1028"/>
      </w:tblGrid>
      <w:tr>
        <w:trPr>
          <w:trHeight w:val="470"/>
        </w:trPr>
        <w:tc>
          <w:tcPr>
            <w:tcW w:w="29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72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403"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562"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69"/>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（元）</w:t>
            </w:r>
            <w:r>
              <w:rPr>
                <w:rFonts w:hint="eastAsia" w:ascii="宋体" w:hAnsi="宋体" w:eastAsia="宋体" w:cs="Times New Roman"/>
                <w:bCs/>
                <w:color w:val="000000"/>
                <w:sz w:val="24"/>
                <w:szCs w:val="24"/>
                <w:highlight w:val="none"/>
                <w:lang w:val="en-US" w:eastAsia="zh-CN"/>
              </w:rPr>
            </w:r>
            <w:r/>
          </w:p>
        </w:tc>
        <w:tc>
          <w:tcPr>
            <w:tcW w:w="151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545"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29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725" w:type="dxa"/>
            <w:vAlign w:val="center"/>
            <w:textDirection w:val="lrTb"/>
            <w:noWrap w:val="false"/>
          </w:tcPr>
          <w:p>
            <w:pPr>
              <w:pStyle w:val="869"/>
              <w:spacing w:line="264" w:lineRule="auto"/>
              <w:rPr>
                <w:rFonts w:hint="eastAsia" w:ascii="宋体" w:hAnsi="宋体" w:eastAsia="宋体" w:cs="Times New Roman"/>
                <w:bCs/>
                <w:color w:val="000000"/>
                <w:sz w:val="24"/>
                <w:szCs w:val="24"/>
                <w:highlight w:val="none"/>
              </w:rPr>
            </w:pPr>
            <w:r>
              <w:rPr>
                <w:rFonts w:ascii="宋体" w:hAnsi="宋体" w:cs="宋体"/>
                <w:bCs/>
                <w:color w:val="000000"/>
                <w:sz w:val="24"/>
                <w:szCs w:val="24"/>
                <w:highlight w:val="none"/>
              </w:rPr>
              <w:t xml:space="preserve">专病库平台</w:t>
            </w:r>
            <w:r>
              <w:rPr>
                <w:rFonts w:hint="eastAsia" w:ascii="宋体" w:hAnsi="宋体" w:eastAsia="宋体" w:cs="Times New Roman"/>
                <w:bCs/>
                <w:color w:val="000000"/>
                <w:sz w:val="24"/>
                <w:szCs w:val="24"/>
                <w:highlight w:val="none"/>
              </w:rPr>
            </w:r>
            <w:r/>
          </w:p>
        </w:tc>
        <w:tc>
          <w:tcPr>
            <w:tcW w:w="40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eastAsia="宋体" w:cs="Times New Roman"/>
                <w:bCs/>
                <w:color w:val="000000"/>
                <w:sz w:val="24"/>
                <w:szCs w:val="24"/>
                <w:highlight w:val="none"/>
              </w:rPr>
            </w:r>
            <w:r/>
          </w:p>
        </w:tc>
        <w:tc>
          <w:tcPr>
            <w:tcW w:w="382"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套</w:t>
            </w:r>
            <w:r>
              <w:rPr>
                <w:rFonts w:hint="eastAsia" w:ascii="宋体" w:hAnsi="宋体" w:eastAsia="宋体" w:cs="宋体"/>
                <w:bCs/>
                <w:color w:val="000000"/>
                <w:sz w:val="24"/>
                <w:szCs w:val="24"/>
                <w:highlight w:val="none"/>
                <w:lang w:val="en-US" w:eastAsia="zh-CN"/>
              </w:rPr>
            </w:r>
            <w:r/>
          </w:p>
        </w:tc>
        <w:tc>
          <w:tcPr>
            <w:tcW w:w="56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bidi="ar-SA"/>
              </w:rPr>
            </w:r>
            <w:r/>
          </w:p>
        </w:tc>
        <w:tc>
          <w:tcPr>
            <w:tcW w:w="569"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r>
            <w:r/>
          </w:p>
        </w:tc>
        <w:tc>
          <w:tcPr>
            <w:tcW w:w="1517"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rPr>
            </w:r>
            <w:r/>
          </w:p>
        </w:tc>
        <w:tc>
          <w:tcPr>
            <w:tcW w:w="545"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9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eastAsia="宋体" w:cs="Times New Roman"/>
                <w:bCs/>
                <w:color w:val="000000"/>
                <w:sz w:val="24"/>
                <w:szCs w:val="24"/>
                <w:highlight w:val="none"/>
              </w:rPr>
            </w:r>
            <w:r/>
          </w:p>
        </w:tc>
        <w:tc>
          <w:tcPr>
            <w:tcW w:w="725" w:type="dxa"/>
            <w:vAlign w:val="center"/>
            <w:textDirection w:val="lrTb"/>
            <w:noWrap w:val="false"/>
          </w:tcPr>
          <w:p>
            <w:pPr>
              <w:pStyle w:val="869"/>
              <w:spacing w:line="264" w:lineRule="auto"/>
              <w:rPr>
                <w:rFonts w:hint="eastAsia" w:ascii="宋体" w:hAnsi="宋体" w:eastAsia="宋体" w:cs="Times New Roman"/>
                <w:color w:val="000000"/>
                <w:sz w:val="24"/>
                <w:szCs w:val="24"/>
                <w:highlight w:val="none"/>
                <w:lang w:val="en-US" w:eastAsia="zh-CN"/>
              </w:rPr>
            </w:pPr>
            <w:r>
              <w:rPr>
                <w:rFonts w:ascii="宋体" w:hAnsi="宋体" w:cs="宋体"/>
                <w:bCs/>
                <w:color w:val="000000"/>
                <w:sz w:val="24"/>
                <w:szCs w:val="24"/>
                <w:highlight w:val="none"/>
              </w:rPr>
              <w:t xml:space="preserve">与第三方系统接口</w:t>
            </w:r>
            <w:r>
              <w:rPr>
                <w:rFonts w:hint="eastAsia" w:ascii="宋体" w:hAnsi="宋体" w:eastAsia="宋体" w:cs="Times New Roman"/>
                <w:color w:val="000000"/>
                <w:sz w:val="24"/>
                <w:szCs w:val="24"/>
                <w:highlight w:val="none"/>
                <w:lang w:val="en-US" w:eastAsia="zh-CN"/>
              </w:rPr>
            </w:r>
            <w:r/>
          </w:p>
        </w:tc>
        <w:tc>
          <w:tcPr>
            <w:tcW w:w="40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rPr>
              <w:t xml:space="preserve">2</w:t>
            </w:r>
            <w:r>
              <w:rPr>
                <w:rFonts w:hint="eastAsia" w:ascii="宋体" w:hAnsi="宋体" w:eastAsia="宋体" w:cs="Times New Roman"/>
                <w:bCs/>
                <w:color w:val="000000"/>
                <w:sz w:val="24"/>
                <w:szCs w:val="24"/>
                <w:highlight w:val="none"/>
                <w:lang w:val="en-US" w:eastAsia="zh-CN" w:bidi="ar-SA"/>
              </w:rPr>
            </w:r>
            <w:r/>
          </w:p>
        </w:tc>
        <w:tc>
          <w:tcPr>
            <w:tcW w:w="382"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套</w:t>
            </w:r>
            <w:r>
              <w:rPr>
                <w:rFonts w:hint="eastAsia" w:ascii="宋体" w:hAnsi="宋体" w:eastAsia="宋体" w:cs="宋体"/>
                <w:bCs/>
                <w:color w:val="000000"/>
                <w:sz w:val="24"/>
                <w:szCs w:val="24"/>
                <w:highlight w:val="none"/>
                <w:lang w:val="en-US" w:eastAsia="zh-CN"/>
              </w:rPr>
            </w:r>
            <w:r/>
          </w:p>
        </w:tc>
        <w:tc>
          <w:tcPr>
            <w:tcW w:w="56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569"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r>
            <w:r/>
          </w:p>
        </w:tc>
        <w:tc>
          <w:tcPr>
            <w:tcW w:w="1517"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rPr>
            </w:r>
            <w:r/>
          </w:p>
        </w:tc>
        <w:tc>
          <w:tcPr>
            <w:tcW w:w="545"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lang w:eastAsia="zh-CN"/>
              </w:rPr>
            </w:r>
            <w:r/>
          </w:p>
        </w:tc>
      </w:tr>
      <w:tr>
        <w:trPr>
          <w:trHeight w:val="597"/>
        </w:trPr>
        <w:tc>
          <w:tcPr>
            <w:tcW w:w="29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eastAsia="宋体" w:cs="Times New Roman"/>
                <w:bCs/>
                <w:color w:val="000000"/>
                <w:sz w:val="24"/>
                <w:szCs w:val="24"/>
                <w:highlight w:val="none"/>
              </w:rPr>
            </w:r>
            <w:r/>
          </w:p>
        </w:tc>
        <w:tc>
          <w:tcPr>
            <w:tcW w:w="725" w:type="dxa"/>
            <w:vAlign w:val="center"/>
            <w:textDirection w:val="lrTb"/>
            <w:noWrap w:val="false"/>
          </w:tcPr>
          <w:p>
            <w:pPr>
              <w:pStyle w:val="869"/>
              <w:spacing w:line="264" w:lineRule="auto"/>
              <w:rPr>
                <w:rFonts w:hint="eastAsia"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rPr>
              <w:t xml:space="preserve">神经、精神类</w:t>
            </w:r>
            <w:r>
              <w:rPr>
                <w:rFonts w:ascii="宋体" w:hAnsi="宋体" w:cs="宋体"/>
                <w:bCs/>
                <w:color w:val="000000"/>
                <w:sz w:val="24"/>
                <w:szCs w:val="24"/>
                <w:highlight w:val="none"/>
              </w:rPr>
              <w:t xml:space="preserve">专病数据库</w:t>
            </w:r>
            <w:r>
              <w:rPr>
                <w:rFonts w:hint="eastAsia" w:ascii="宋体" w:hAnsi="宋体" w:eastAsia="宋体" w:cs="Times New Roman"/>
                <w:color w:val="000000"/>
                <w:sz w:val="24"/>
                <w:szCs w:val="24"/>
                <w:highlight w:val="none"/>
                <w:lang w:val="en-US" w:eastAsia="zh-CN"/>
              </w:rPr>
            </w:r>
            <w:r/>
          </w:p>
        </w:tc>
        <w:tc>
          <w:tcPr>
            <w:tcW w:w="40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rPr>
              <w:t xml:space="preserve">6</w:t>
            </w:r>
            <w:r>
              <w:rPr>
                <w:rFonts w:hint="eastAsia" w:ascii="宋体" w:hAnsi="宋体" w:eastAsia="宋体" w:cs="Times New Roman"/>
                <w:bCs/>
                <w:color w:val="000000"/>
                <w:sz w:val="24"/>
                <w:szCs w:val="24"/>
                <w:highlight w:val="none"/>
                <w:lang w:val="en-US" w:eastAsia="zh-CN" w:bidi="ar-SA"/>
              </w:rPr>
            </w:r>
            <w:r/>
          </w:p>
        </w:tc>
        <w:tc>
          <w:tcPr>
            <w:tcW w:w="382"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个</w:t>
            </w:r>
            <w:r>
              <w:rPr>
                <w:rFonts w:hint="eastAsia" w:ascii="宋体" w:hAnsi="宋体" w:eastAsia="宋体" w:cs="宋体"/>
                <w:bCs/>
                <w:color w:val="000000"/>
                <w:sz w:val="24"/>
                <w:szCs w:val="24"/>
                <w:highlight w:val="none"/>
                <w:lang w:val="en-US" w:eastAsia="zh-CN"/>
              </w:rPr>
            </w:r>
            <w:r/>
          </w:p>
        </w:tc>
        <w:tc>
          <w:tcPr>
            <w:tcW w:w="56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569"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r>
            <w:r/>
          </w:p>
        </w:tc>
        <w:tc>
          <w:tcPr>
            <w:tcW w:w="1517"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rPr>
            </w:r>
            <w:r/>
          </w:p>
        </w:tc>
        <w:tc>
          <w:tcPr>
            <w:tcW w:w="545"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rPr>
            </w:r>
            <w:r/>
          </w:p>
        </w:tc>
      </w:tr>
      <w:tr>
        <w:trPr>
          <w:trHeight w:val="597"/>
        </w:trPr>
        <w:tc>
          <w:tcPr>
            <w:tcW w:w="29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eastAsia="宋体" w:cs="Times New Roman"/>
                <w:bCs/>
                <w:color w:val="000000"/>
                <w:sz w:val="24"/>
                <w:szCs w:val="24"/>
                <w:highlight w:val="none"/>
              </w:rPr>
            </w:r>
            <w:r/>
          </w:p>
        </w:tc>
        <w:tc>
          <w:tcPr>
            <w:tcW w:w="725" w:type="dxa"/>
            <w:vAlign w:val="center"/>
            <w:textDirection w:val="lrTb"/>
            <w:noWrap w:val="false"/>
          </w:tcPr>
          <w:p>
            <w:pPr>
              <w:pStyle w:val="869"/>
              <w:spacing w:line="264" w:lineRule="auto"/>
              <w:rPr>
                <w:rFonts w:hint="eastAsia"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rPr>
              <w:t xml:space="preserve">胸部疾病类专病库</w:t>
            </w:r>
            <w:r>
              <w:rPr>
                <w:rFonts w:hint="eastAsia" w:ascii="宋体" w:hAnsi="宋体" w:eastAsia="宋体" w:cs="Times New Roman"/>
                <w:color w:val="000000"/>
                <w:sz w:val="24"/>
                <w:szCs w:val="24"/>
                <w:highlight w:val="none"/>
                <w:lang w:val="en-US" w:eastAsia="zh-CN"/>
              </w:rPr>
            </w:r>
            <w:r/>
          </w:p>
        </w:tc>
        <w:tc>
          <w:tcPr>
            <w:tcW w:w="403"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rPr>
              <w:t xml:space="preserve">4</w:t>
            </w:r>
            <w:r>
              <w:rPr>
                <w:rFonts w:hint="eastAsia" w:ascii="宋体" w:hAnsi="宋体" w:eastAsia="宋体" w:cs="Times New Roman"/>
                <w:bCs/>
                <w:color w:val="000000"/>
                <w:sz w:val="24"/>
                <w:szCs w:val="24"/>
                <w:highlight w:val="none"/>
                <w:lang w:val="en-US" w:eastAsia="zh-CN" w:bidi="ar-SA"/>
              </w:rPr>
            </w:r>
            <w:r/>
          </w:p>
        </w:tc>
        <w:tc>
          <w:tcPr>
            <w:tcW w:w="382"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个</w:t>
            </w:r>
            <w:r>
              <w:rPr>
                <w:rFonts w:hint="eastAsia" w:ascii="宋体" w:hAnsi="宋体" w:eastAsia="宋体" w:cs="宋体"/>
                <w:bCs/>
                <w:color w:val="000000"/>
                <w:sz w:val="24"/>
                <w:szCs w:val="24"/>
                <w:highlight w:val="none"/>
                <w:lang w:val="en-US" w:eastAsia="zh-CN"/>
              </w:rPr>
            </w:r>
            <w:r/>
          </w:p>
        </w:tc>
        <w:tc>
          <w:tcPr>
            <w:tcW w:w="562"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569" w:type="dxa"/>
            <w:vAlign w:val="center"/>
            <w:textDirection w:val="lrTb"/>
            <w:noWrap w:val="false"/>
          </w:tcPr>
          <w:p>
            <w:pPr>
              <w:pStyle w:val="869"/>
              <w:jc w:val="center"/>
              <w:spacing w:line="264" w:lineRule="auto"/>
              <w:rPr>
                <w:rFonts w:hint="eastAsia" w:ascii="宋体" w:hAnsi="宋体" w:eastAsia="宋体" w:cs="Times New Roman"/>
                <w:bCs/>
                <w:color w:val="000000"/>
                <w:sz w:val="24"/>
                <w:szCs w:val="24"/>
                <w:highlight w:val="none"/>
              </w:rPr>
            </w:pPr>
            <w:r>
              <w:rPr>
                <w:rFonts w:hint="eastAsia" w:ascii="宋体" w:hAnsi="宋体" w:cs="宋体"/>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r>
            <w:r/>
          </w:p>
        </w:tc>
        <w:tc>
          <w:tcPr>
            <w:tcW w:w="1517"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软件和信息技术服务业</w:t>
            </w:r>
            <w:r>
              <w:rPr>
                <w:rFonts w:hint="eastAsia" w:ascii="宋体" w:hAnsi="宋体" w:eastAsia="宋体" w:cs="宋体"/>
                <w:bCs/>
                <w:color w:val="000000"/>
                <w:sz w:val="24"/>
                <w:szCs w:val="24"/>
                <w:highlight w:val="none"/>
                <w:lang w:val="en-US" w:eastAsia="zh-CN"/>
              </w:rPr>
            </w:r>
            <w:r/>
          </w:p>
        </w:tc>
        <w:tc>
          <w:tcPr>
            <w:tcW w:w="545" w:type="dxa"/>
            <w:vAlign w:val="center"/>
            <w:textDirection w:val="lrTb"/>
            <w:noWrap w:val="false"/>
          </w:tcPr>
          <w:p>
            <w:pPr>
              <w:pStyle w:val="869"/>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服务</w:t>
            </w:r>
            <w:r>
              <w:rPr>
                <w:rFonts w:hint="eastAsia" w:ascii="宋体" w:hAnsi="宋体" w:eastAsia="宋体" w:cs="宋体"/>
                <w:bCs/>
                <w:color w:val="000000"/>
                <w:sz w:val="24"/>
                <w:szCs w:val="24"/>
                <w:highlight w:val="none"/>
                <w:lang w:val="en-US" w:eastAsia="zh-CN" w:bidi="ar-SA"/>
              </w:rPr>
            </w:r>
            <w:r/>
          </w:p>
        </w:tc>
      </w:tr>
    </w:tbl>
    <w:p>
      <w:pPr>
        <w:pStyle w:val="869"/>
        <w:ind w:firstLine="480"/>
        <w:keepLines w:val="0"/>
        <w:keepNext w:val="0"/>
        <w:pageBreakBefore w:val="0"/>
        <w:spacing w:line="264" w:lineRule="auto"/>
        <w:widowControl/>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r>
      <w:r/>
    </w:p>
    <w:p>
      <w:pPr>
        <w:pStyle w:val="869"/>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9"/>
        <w:ind w:firstLine="480"/>
        <w:spacing w:line="264" w:lineRule="auto"/>
        <w:rPr>
          <w:rFonts w:hint="eastAsia" w:ascii="宋体" w:hAnsi="宋体" w:cs="宋体"/>
          <w:bCs/>
          <w:color w:val="000000"/>
          <w:sz w:val="24"/>
          <w:szCs w:val="24"/>
          <w:highlight w:val="none"/>
        </w:rPr>
        <w:outlineLvl w:val="2"/>
      </w:pPr>
      <w:r>
        <w:rPr>
          <w:rFonts w:hint="eastAsia" w:ascii="宋体" w:hAnsi="宋体" w:cs="宋体"/>
          <w:bCs/>
          <w:color w:val="000000"/>
          <w:sz w:val="24"/>
          <w:szCs w:val="24"/>
          <w:highlight w:val="none"/>
        </w:rPr>
        <w:t xml:space="preserve">（一）技术要求</w:t>
      </w: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专病库平台（2套）</w:t>
      </w:r>
      <w:r>
        <w:rPr>
          <w:rFonts w:ascii="宋体" w:hAnsi="宋体" w:cs="宋体"/>
          <w:bCs/>
          <w:color w:val="000000"/>
          <w:sz w:val="24"/>
          <w:szCs w:val="24"/>
          <w:highlight w:val="none"/>
        </w:rPr>
      </w:r>
      <w:r/>
    </w:p>
    <w:tbl>
      <w:tblPr>
        <w:tblW w:w="4931"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1968"/>
        <w:gridCol w:w="6865"/>
      </w:tblGrid>
      <w:tr>
        <w:trPr/>
        <w:tc>
          <w:tcPr>
            <w:tcW w:w="505" w:type="dxa"/>
            <w:vAlign w:val="top"/>
            <w:textDirection w:val="lrTb"/>
            <w:noWrap w:val="false"/>
          </w:tcPr>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ascii="宋体" w:hAnsi="宋体" w:cs="宋体"/>
                <w:bCs/>
                <w:color w:val="000000"/>
                <w:sz w:val="24"/>
                <w:szCs w:val="24"/>
                <w:highlight w:val="none"/>
              </w:rPr>
            </w:r>
            <w:r/>
          </w:p>
        </w:tc>
        <w:tc>
          <w:tcPr>
            <w:tcW w:w="1001"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W w:w="3492"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功能、性能、配置要求</w:t>
            </w:r>
            <w:r>
              <w:rPr>
                <w:rFonts w:hint="eastAsia" w:ascii="宋体" w:hAnsi="宋体" w:cs="宋体"/>
                <w:bCs/>
                <w:color w:val="000000"/>
                <w:sz w:val="24"/>
                <w:szCs w:val="24"/>
                <w:highlight w:val="none"/>
              </w:rPr>
            </w:r>
            <w:r/>
          </w:p>
        </w:tc>
      </w:tr>
      <w:tr>
        <w:trPr>
          <w:trHeight w:val="130"/>
        </w:trPr>
        <w:tc>
          <w:tcPr>
            <w:tcW w:w="505"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001"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实质性要求</w:t>
            </w:r>
            <w:r>
              <w:rPr>
                <w:rFonts w:hint="eastAsia" w:ascii="宋体" w:hAnsi="宋体" w:cs="宋体"/>
                <w:bCs/>
                <w:color w:val="000000"/>
                <w:sz w:val="24"/>
                <w:szCs w:val="24"/>
                <w:highlight w:val="none"/>
              </w:rPr>
            </w:r>
            <w:r/>
          </w:p>
        </w:tc>
        <w:tc>
          <w:tcPr>
            <w:tcW w:w="3492"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总体技术要求：项目建设要充分考虑使用人员以及患者个人隐私和信息安全，在项目的建设过程中应符合安全性原则、稳定性原则、可扩展性原则，具体要求如下：</w:t>
            </w:r>
            <w:r>
              <w:rPr>
                <w:rFonts w:hint="eastAsia" w:ascii="宋体" w:hAnsi="宋体" w:cs="宋体"/>
                <w:bCs/>
                <w:color w:val="000000"/>
                <w:sz w:val="24"/>
                <w:szCs w:val="24"/>
                <w:highlight w:val="none"/>
              </w:rPr>
            </w:r>
            <w:r/>
          </w:p>
          <w:p>
            <w:pPr>
              <w:pStyle w:val="869"/>
              <w:numPr>
                <w:ilvl w:val="0"/>
                <w:numId w:val="0"/>
              </w:numP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lang w:val="en-US" w:eastAsia="zh-CN" w:bidi="ar-SA"/>
              </w:rPr>
              <w:t xml:space="preserve">1)</w:t>
            </w:r>
            <w:r>
              <w:rPr>
                <w:rFonts w:hint="eastAsia" w:ascii="宋体" w:hAnsi="宋体" w:cs="宋体"/>
                <w:bCs/>
                <w:color w:val="000000"/>
                <w:sz w:val="24"/>
                <w:szCs w:val="24"/>
                <w:highlight w:val="none"/>
              </w:rPr>
              <w:t xml:space="preserve">安全性原则：在安全性建设方面应充分考虑对接系统服务器接入的安全、终端设备安全、数据加解密传输安全、账户安全等问题；</w:t>
            </w:r>
            <w:r>
              <w:rPr>
                <w:rFonts w:hint="eastAsia" w:ascii="宋体" w:hAnsi="宋体" w:cs="宋体"/>
                <w:bCs/>
                <w:color w:val="000000"/>
                <w:sz w:val="24"/>
                <w:szCs w:val="24"/>
                <w:highlight w:val="none"/>
              </w:rPr>
            </w:r>
            <w:r/>
          </w:p>
          <w:p>
            <w:pPr>
              <w:pStyle w:val="869"/>
              <w:numPr>
                <w:ilvl w:val="0"/>
                <w:numId w:val="0"/>
              </w:numP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2)稳定性原则：系统必须有足够的稳定性，防止单点故障，在发生意外情况时能够很好地处理并给出错误提示，并且能够及时恢复，减少不必要的损失；</w:t>
            </w:r>
            <w:r>
              <w:rPr>
                <w:rFonts w:hint="eastAsia" w:ascii="宋体" w:hAnsi="宋体" w:cs="宋体"/>
                <w:bCs/>
                <w:color w:val="000000"/>
                <w:sz w:val="24"/>
                <w:szCs w:val="24"/>
                <w:highlight w:val="none"/>
              </w:rPr>
            </w:r>
            <w:r/>
          </w:p>
          <w:p>
            <w:pPr>
              <w:pStyle w:val="869"/>
              <w:numPr>
                <w:ilvl w:val="0"/>
                <w:numId w:val="0"/>
              </w:numPr>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可扩展性原则：面对信息技术的高速发展，软硬件和网络设备都应具有良好的系统扩展性。随着网络技术的不断发展，软硬件和网络设备应能平滑升级，系统应能适应不同规模的业务，系统软硬件平台应具有良好的可扩展性。系统能够适应将来可能出现的变化，新增功能时可在原软件系统进行简单升级，无需改造原软件系统；</w:t>
            </w:r>
            <w:r>
              <w:rPr>
                <w:rFonts w:hint="eastAsia" w:ascii="宋体" w:hAnsi="宋体" w:cs="宋体"/>
                <w:bCs/>
                <w:color w:val="000000"/>
                <w:sz w:val="24"/>
                <w:szCs w:val="24"/>
                <w:highlight w:val="none"/>
              </w:rPr>
            </w:r>
            <w:r/>
          </w:p>
          <w:p>
            <w:pPr>
              <w:pStyle w:val="869"/>
              <w:numPr>
                <w:ilvl w:val="0"/>
                <w:numId w:val="0"/>
              </w:numPr>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4)标准化原则：要求支持国家电子病历评级标准及医院信息互联互通成熟度测评接口标准，以便在其他系统或更广范围内实现病历的共享。</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性能要求：系统具备高性能数据处理能力，支持千万级表型数据的快速查询与计算，秒级响应分析与预测请求，保障在大规模临床数据环境下的多表查询、嵌套查询、可信计算过程中的实时交互与流畅体验。</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架构要求：在部署环境中支持功能和数据异构部署，涉及核心数据部分功能部署在内网环境中，同时集成统一用户单点登录能力，涉及公共交换数据（如随访）可以部署到公网环境中，对于在公网环境中，需要满足医院三级等保相关安全规范。系统建设中，相关开发言语技术、底层数据库、加密算法符合医疗机构对国产化信创和国密算法的相关要求。同时，系统整体架构应具备良好的扩展能力，在不影响现有平台运行的前提下，可平滑增加其他病种的专病数据集或数据队列，实现多病种、多学科数据的持续集成与统一管理，以满足未来科研与临床应用的长期发展需求。</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区域数据标准对接：符合南京市“慢性呼吸道疾病专病库”统一数据模型要求，</w:t>
            </w:r>
            <w:bookmarkStart w:id="193" w:name="OLE_LINK7"/>
            <w:r/>
            <w:bookmarkStart w:id="194" w:name="OLE_LINK8"/>
            <w:r>
              <w:rPr>
                <w:rFonts w:hint="eastAsia" w:ascii="宋体" w:hAnsi="宋体" w:cs="宋体"/>
                <w:bCs/>
                <w:color w:val="000000"/>
                <w:sz w:val="24"/>
                <w:szCs w:val="24"/>
                <w:highlight w:val="none"/>
              </w:rPr>
              <w:t xml:space="preserve">满足直接对接和汇聚要求</w:t>
            </w:r>
            <w:bookmarkEnd w:id="193"/>
            <w:r/>
            <w:bookmarkEnd w:id="194"/>
            <w:r>
              <w:rPr>
                <w:rFonts w:hint="eastAsia" w:ascii="宋体" w:hAnsi="宋体" w:cs="宋体"/>
                <w:bCs/>
                <w:color w:val="000000"/>
                <w:sz w:val="24"/>
                <w:szCs w:val="24"/>
                <w:highlight w:val="none"/>
              </w:rPr>
              <w:t xml:space="preserve">。</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专病数据对接：可与院内各相关系统实现对接。本项目包含与所有第三方系统的双向数据对接费</w:t>
            </w:r>
            <w:r>
              <w:rPr>
                <w:rFonts w:hint="eastAsia" w:ascii="宋体" w:hAnsi="宋体" w:cs="宋体"/>
                <w:bCs/>
                <w:color w:val="000000"/>
                <w:sz w:val="24"/>
                <w:szCs w:val="24"/>
                <w:highlight w:val="none"/>
                <w:lang w:val="en-US" w:eastAsia="zh-CN"/>
              </w:rPr>
              <w:t xml:space="preserve">应包含在本次报价中</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tc>
      </w:tr>
      <w:tr>
        <w:trPr/>
        <w:tc>
          <w:tcPr>
            <w:tcW w:w="505"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1001"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非实质性要求</w:t>
            </w:r>
            <w:r>
              <w:rPr>
                <w:rFonts w:hint="eastAsia" w:ascii="宋体" w:hAnsi="宋体" w:cs="宋体"/>
                <w:bCs/>
                <w:color w:val="000000"/>
                <w:sz w:val="24"/>
                <w:szCs w:val="24"/>
                <w:highlight w:val="none"/>
              </w:rPr>
            </w:r>
            <w:r/>
          </w:p>
        </w:tc>
        <w:tc>
          <w:tcPr>
            <w:tcW w:w="3492" w:type="dxa"/>
            <w:vAlign w:val="top"/>
            <w:textDirection w:val="lrTb"/>
            <w:noWrap w:val="false"/>
          </w:tcPr>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数据驾驶舱</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数据概览：展示库内总体和各个模块分布统计、核心字段和非核心字段的统计（完整率等），包括患者总数、就诊人次数据、时间范围等信息。</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疾病相关统计：疾病相关信息统计，包括患者基本信息、临床信息以及治疗信息的统计分布。</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使用情况统计：包括不同用户的访问热度统计分布。</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患者数量趋势：支持查看库内数据患者数量更新趋势。</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自定义展示：支持不同的账号自定义展示驾驶舱上的数据信息。</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医疗数据纳排搜索</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原文搜索：支持对原文关键词进行搜索；支持查看搜索到的患者数据和列表信息。</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条件树搜索：支持以树状形式添加1个以上的筛选条件，支持多层逻辑关系或非嵌套组合，支持纳入、排除和各项之间的灵活切换。</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患者精准搜索：支持使用患者号进行精准搜索，支持患者号进行批量搜索，并支持查看搜索结果。</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搜索列表展示：支持查看搜索结果的列表，包括患者的基本信息和关键疾病信息；支持对患者列表进行排序。</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患者数据导出：支持对筛选结果做数据的表单导出。</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筛选收藏夹：支持记录筛选记录查看；支持保存常用的筛选条件收藏。</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患者全景视图</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患者详情：支持查看患者的全部诊疗路径数据；支持用户自定义并查看检验指标的时序变化图；支持查看患者的全部原始数据。</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患者时间轴：以时间轴形式查看患者的诊疗数据，并支持自定义展示配置，支持拖动和点选来查看诊疗细节。</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患者病案夹：按时间顺序展示患者每份病案摘要，并可以查看病案详情。</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结构化数据溯源：支持点击结构化数据，查看所有数据的提取源；支持所有数据一键溯源取值逻辑，并且定位到原文。</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科研随访</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随访日历：对患者提供相应的随访计划和规则，可灵活设定随访频次、开始时间、结束时间、终止规则等，提供了每日的随访工作安排，可以快速开展随访数据录入工作。</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随访管理：支持按照项目创建随访，并可以对随访的信息进行增删改。</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异常列表：随访异常患者列表，可查看患者全息、患者详情，对异常患者进行恢复、中止操作</w:t>
            </w: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随访进度管理：支持随访任务全流程管理与进度可视化。</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具备自动化智能逾期预警、失访风险识别与补访建议，确保随访过程的及时性与数据的完整性、准确性。</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统计分析</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统计学计算模块：内置医学统计检验方法，实现数据不出域的计算，可以选择专病数据生成变量进行统计分析。</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科研应用平台</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平台使用情况总览：系统使用数据总览，查看每天平台上的登录、筛选、申请导出、导出审批通过、下载数据，以及指定时间段内的趋势。</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登录记录查看：查看用户的登录日志，提供平台上所有用户权限内的登录记录，包括登录时间、账号名、科室、角色。</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筛选记录查看：查看用户筛选记录，提供平台上所有用户的所有筛选记录，包括筛选时间、账号名、所属科室、筛选条件，并支持按照时间筛选。</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导出记录查看：用户导出记录，提供平台上所有用户的所有数据导出记录，包括导出时间、账号名、科室、项目、导出字段。</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级分类审批管理：审批界面支持在线查看申请明细、导出范围及用途说明，审批人可选择通过或拒绝，拒绝时需填写原因并记录到审批日志。系统需对审批全流程进行留痕审计，包含审批人、审批时间、决策结果及备注，确保事后可追溯；同时支持审批记录导出与统计分析，用于数据安全合规检查与风险评估。</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访问授权管理：支持专病库平台的访问授权管理，授权认证要求采用国密密码算法登录认证，保障数据资产安全。提供专病数据库之间的隔离访问控制，可按专病科室分配数据检索权限，相关账号只可在权限范围内进行患者筛选，数据导出权限控制，可为专病数据库账号设置“导出是否需要审批”。</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用户授权管理：支持面向专病库平台的用户授权管理，支持增删改用户账号信息，支持预设管理员账号，对系统内的账号信息做角色和管理授权，实现专库专管。</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患者收藏夹：患者收藏夹，对于感兴趣的典型患者，可加入“收藏夹”，进行反复浏览，并且可将特定患者导入特定的项目组。</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操作记录查看：操作记录，查看历史的筛选操作记录，在数据筛选页面中，可以对历史的筛选条件做恢复。在导出页面，可以支持反复下载历史导出的文件。</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个人信息查看：系统需设有自有账号、密码等修改，对个人权限和信息的查看功能。</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统计分析：内置常用统计学分析方法与公式库（如描述性统计、相关性分析、回归分析、生存分析等），支持与预测模型结合使用，实现一体化科研分析。</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医疗数据管理</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医疗数据映射管理：支持从医疗系统中自动获取数据，并在系统中提供映射管理能力，为用户提供友好的数据识别能力。</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专病数据模型构建</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据模型构建：参照卫生相关数据字段集标准，构建专病数据模型，重点突出疾病特有的诊断、检验检查和治疗手段等内容，将特有的内容设计成为高度结构化字段，满足临床研究数据搜索以及统计分析需求。覆盖以下数据来源：患者人口学信息、病历文书、病案首页、手术记录、用药记录、门诊处方、检验报告、微生物报告、CT检查、普放检查、MRl检查、超声检查、心电图检查、生命体征、生存结局、生存随访、护理记录等。</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模型数据提取：根据数据字段定义规则，采用不同类型的字段结果提取方式，支持：直接获取、计算获取、根据指定条件获取、根据NLP模型获取等。</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科研项目管理</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CRF（临床试验中使用的病历报告表 case report form）自动填录支持低代码构建符合临床研究规范的CRF表单，具备字段类型、逻辑校验、依赖关系等灵活配置能力；可与专病模型库深度对接，通过字段映射与标准化转换规则，支持自动化抽取并填充所需基础数据，确保与原始数据的一致性。自动完成过程中完整性、时效性及逻辑性一致性校验，对缺失或异常数据进行提示与人工补录支持。</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创建研究项目</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根据临床研究需要，可提供创建研究项目的功能，并对项目进行管理。支持参与研究项目人员的权限管理。</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科研数据治理与AI模型训推</w:t>
            </w: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数据治理与疾病风险预测模型：</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具备训推一体化计算和部署能力，可在平台内完成模型的数据准备、特征工程、训练、验证与部署，实现疾病风险预测模型的快速迭代与在线推理。支持按病种灵活配置特征变量与训练参数，自动输出预测结果及风险分层，满足临床研究的合规性与可重复性要求。NLP模型标注与训练：支持读取检查报告和病史文书内容，进行在线标注与训练。LLM模型集成：支持主流国产开源大模型集成，实现非结构化数据的治理，系统需要提供LLM硬件资源的监控和运行状态监控。</w:t>
            </w:r>
            <w:r>
              <w:rPr>
                <w:rFonts w:hint="eastAsia" w:ascii="宋体" w:hAnsi="宋体" w:cs="宋体"/>
                <w:bCs/>
                <w:color w:val="000000"/>
                <w:sz w:val="24"/>
                <w:szCs w:val="24"/>
                <w:highlight w:val="none"/>
              </w:rPr>
            </w:r>
            <w:r/>
          </w:p>
        </w:tc>
      </w:tr>
    </w:tbl>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t xml:space="preserve">与第三方系统接口</w:t>
      </w:r>
      <w:r>
        <w:rPr>
          <w:rFonts w:hint="eastAsia" w:ascii="宋体" w:hAnsi="宋体" w:cs="宋体"/>
          <w:bCs/>
          <w:color w:val="000000"/>
          <w:sz w:val="24"/>
          <w:szCs w:val="24"/>
          <w:highlight w:val="none"/>
        </w:rPr>
        <w:t xml:space="preserve">（2套）</w:t>
      </w:r>
      <w:r>
        <w:rPr>
          <w:rFonts w:ascii="宋体" w:hAnsi="宋体" w:cs="宋体"/>
          <w:bCs/>
          <w:color w:val="000000"/>
          <w:sz w:val="24"/>
          <w:szCs w:val="24"/>
          <w:highlight w:val="none"/>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984"/>
        <w:gridCol w:w="6877"/>
      </w:tblGrid>
      <w:tr>
        <w:trPr/>
        <w:tc>
          <w:tcPr>
            <w:tcW w:w="1003"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1984"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W w:w="6877"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功能、性能、配置要求</w:t>
            </w:r>
            <w:r>
              <w:rPr>
                <w:rFonts w:hint="eastAsia" w:ascii="宋体" w:hAnsi="宋体" w:cs="宋体"/>
                <w:bCs/>
                <w:color w:val="000000"/>
                <w:sz w:val="24"/>
                <w:szCs w:val="24"/>
                <w:highlight w:val="none"/>
              </w:rPr>
            </w:r>
            <w:r/>
          </w:p>
        </w:tc>
      </w:tr>
      <w:tr>
        <w:trPr/>
        <w:tc>
          <w:tcPr>
            <w:tcW w:w="1003"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1984"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系统接口</w:t>
            </w:r>
            <w:r>
              <w:rPr>
                <w:rFonts w:hint="eastAsia" w:ascii="宋体" w:hAnsi="宋体" w:cs="宋体"/>
                <w:bCs/>
                <w:color w:val="000000"/>
                <w:sz w:val="24"/>
                <w:szCs w:val="24"/>
                <w:highlight w:val="none"/>
              </w:rPr>
            </w:r>
            <w:r/>
          </w:p>
        </w:tc>
        <w:tc>
          <w:tcPr>
            <w:tcW w:w="6877"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采用基于HTTP/HTTPS的RESTful API作为主要接口风格，确保接口的轻量、通用与易用性。</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接口数据交换格式统一使用JSON，编码格式为UTF-8。</w:t>
            </w: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需提供清晰的API文档，包括完整的端点URL、请求/响应示例、状态码及详细的字段说明。</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所有传输数据必须通过TLS 1.2及以上版本进行加密。</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接口应具备访问频率限制（限流）机制，防止恶意调用。</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需提供接口调用日志和关键的性能监控指标（如调用量、成功率、耗时），便于问题排查与系统健康度评估。</w:t>
            </w:r>
            <w:r>
              <w:rPr>
                <w:rFonts w:hint="eastAsia" w:ascii="宋体" w:hAnsi="宋体" w:cs="宋体"/>
                <w:bCs/>
                <w:color w:val="000000"/>
                <w:sz w:val="24"/>
                <w:szCs w:val="24"/>
                <w:highlight w:val="none"/>
              </w:rPr>
            </w:r>
            <w:r/>
          </w:p>
        </w:tc>
      </w:tr>
    </w:tbl>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神经、精神类</w:t>
      </w:r>
      <w:r>
        <w:rPr>
          <w:rFonts w:ascii="宋体" w:hAnsi="宋体" w:cs="宋体"/>
          <w:bCs/>
          <w:color w:val="000000"/>
          <w:sz w:val="24"/>
          <w:szCs w:val="24"/>
          <w:highlight w:val="none"/>
        </w:rPr>
        <w:t xml:space="preserve">专病数据库</w:t>
      </w:r>
      <w:r>
        <w:rPr>
          <w:rFonts w:hint="eastAsia" w:ascii="宋体" w:hAnsi="宋体" w:cs="宋体"/>
          <w:bCs/>
          <w:color w:val="000000"/>
          <w:sz w:val="24"/>
          <w:szCs w:val="24"/>
          <w:highlight w:val="none"/>
        </w:rPr>
        <w:t xml:space="preserve">（6个）</w:t>
      </w:r>
      <w:r>
        <w:rPr>
          <w:rFonts w:ascii="宋体" w:hAnsi="宋体" w:cs="宋体"/>
          <w:bCs/>
          <w:color w:val="000000"/>
          <w:sz w:val="24"/>
          <w:szCs w:val="24"/>
          <w:highlight w:val="none"/>
        </w:rPr>
      </w:r>
      <w:r/>
    </w:p>
    <w:tbl>
      <w:tblPr>
        <w:tblW w:w="499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4"/>
        <w:gridCol w:w="1969"/>
        <w:gridCol w:w="6979"/>
      </w:tblGrid>
      <w:tr>
        <w:trPr/>
        <w:tc>
          <w:tcPr>
            <w:tcW w:w="500" w:type="dxa"/>
            <w:vAlign w:val="top"/>
            <w:textDirection w:val="lrTb"/>
            <w:noWrap w:val="false"/>
          </w:tcPr>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ascii="宋体" w:hAnsi="宋体" w:cs="宋体"/>
                <w:bCs/>
                <w:color w:val="000000"/>
                <w:sz w:val="24"/>
                <w:szCs w:val="24"/>
                <w:highlight w:val="none"/>
              </w:rPr>
            </w:r>
            <w:r/>
          </w:p>
        </w:tc>
        <w:tc>
          <w:tcPr>
            <w:tcW w:w="990"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W w:w="3510" w:type="dxa"/>
            <w:vAlign w:val="top"/>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功能、性能、配置要求</w:t>
            </w:r>
            <w:r>
              <w:rPr>
                <w:rFonts w:hint="eastAsia" w:ascii="宋体" w:hAnsi="宋体" w:cs="宋体"/>
                <w:bCs/>
                <w:color w:val="000000"/>
                <w:sz w:val="24"/>
                <w:szCs w:val="24"/>
                <w:highlight w:val="none"/>
              </w:rPr>
            </w:r>
            <w:r/>
          </w:p>
        </w:tc>
      </w:tr>
      <w:tr>
        <w:trPr/>
        <w:tc>
          <w:tcPr>
            <w:tcW w:w="500" w:type="dxa"/>
            <w:vAlign w:val="center"/>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rPr>
            </w:r>
            <w:r/>
          </w:p>
        </w:tc>
        <w:tc>
          <w:tcPr>
            <w:tcW w:w="990" w:type="dxa"/>
            <w:vAlign w:val="center"/>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实质性要求</w:t>
            </w:r>
            <w:r>
              <w:rPr>
                <w:rFonts w:hint="eastAsia" w:ascii="宋体" w:hAnsi="宋体" w:cs="宋体"/>
                <w:bCs/>
                <w:color w:val="000000"/>
                <w:sz w:val="24"/>
                <w:szCs w:val="24"/>
                <w:highlight w:val="none"/>
              </w:rPr>
            </w:r>
            <w:r/>
          </w:p>
        </w:tc>
        <w:tc>
          <w:tcPr>
            <w:tcW w:w="3510" w:type="dxa"/>
            <w:vAlign w:val="bottom"/>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不低于以下要求：</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（1）系统需采用B/S架构，纯WEB版产品界面。 </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（2）支持基于kubernetes和docker容器编排的部署方案，并可监控容器的运行状态。</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（3）支持与医院信息系统数据的实时同步，需提供技术方案；</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（4）支持处理多种病历类型的处理模型，展示例如入院病史、既往史、病程录、体格检查、超声心动图、心电图。</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（5）系统支持单份文本分析结果进行可视化展示，包括医学实体识别、医学实体与关联识别、概念展示等；</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（6）支持治理好的文本变量的溯源功能，精确定位抽取的变量在原文中的位置，并高亮显示。</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（7）支持操作日志的记录：对所有用户操作记录日志，记录访问IP地址、时间、用户名、操作涉及的模块等信息； </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（8）支持患者去隐私管理：对于患者隐私，在应用或系统设计时充分考虑相关数据的隐私保护政策。</w:t>
            </w:r>
            <w:r>
              <w:rPr>
                <w:rFonts w:hint="eastAsia" w:ascii="宋体" w:hAnsi="宋体" w:cs="宋体"/>
                <w:bCs/>
                <w:color w:val="000000"/>
                <w:sz w:val="24"/>
                <w:szCs w:val="24"/>
                <w:highlight w:val="none"/>
              </w:rPr>
            </w:r>
            <w:r/>
          </w:p>
        </w:tc>
      </w:tr>
      <w:tr>
        <w:trPr/>
        <w:tc>
          <w:tcPr>
            <w:tcW w:w="500" w:type="dxa"/>
            <w:vAlign w:val="center"/>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rPr>
            </w:r>
            <w:r/>
          </w:p>
        </w:tc>
        <w:tc>
          <w:tcPr>
            <w:tcW w:w="990" w:type="dxa"/>
            <w:vAlign w:val="center"/>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非实质性要求</w:t>
            </w:r>
            <w:r>
              <w:rPr>
                <w:rFonts w:hint="eastAsia" w:ascii="宋体" w:hAnsi="宋体" w:cs="宋体"/>
                <w:bCs/>
                <w:color w:val="000000"/>
                <w:sz w:val="24"/>
                <w:szCs w:val="24"/>
                <w:highlight w:val="none"/>
              </w:rPr>
            </w:r>
            <w:r/>
          </w:p>
        </w:tc>
        <w:tc>
          <w:tcPr>
            <w:tcW w:w="3510" w:type="dxa"/>
            <w:vAlign w:val="bottom"/>
            <w:textDirection w:val="lrTb"/>
            <w:noWrap w:val="false"/>
          </w:tcPr>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不低于以下要求：</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专病数据集功能：</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 系统需支持参考专业机构临床数据集、指南及专家共识、临床路径等，结合国际主流研究方向及国内现状，定制符合研究需求的专病数据集；</w:t>
            </w: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 系统需支持个性化需求沟通，在专病范围内配合医院建立标准化数据集。</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专病库首页功能</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 系统需支持纳排条件展示，入组患者数量，样本时间跨度展示；</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 系统需支持T+1自动更新并告知新入组的患者；</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 系统需支持每个用户自定义关注变量并在首页展示关注变量的数据情况；</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 系统需支持展示关注变量的数据填充情况；</w:t>
            </w: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5. 系统需支持展示关注变量的结果可视化分布图</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数据仓库功能：</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 系统需支持以二维表形式进行专病库数据集的专病域及变量的展示，包括患者基本信息，就诊记录，症状，诊断，实验室检查，药物治疗，影像学检查，既往病史，个人史，嗜好品信息，婚育史，家族史，体格检查，生命体征，护理记录等；</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 系统需支持通过切换专病域查看变量及患者数据；</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 系统需支持父子关系域的层级展示，支持自由选择父子变量是否展示在同一张表内；</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 系统需支持展示当前域下专病库内的患者总数、变量数及总计记录条数；</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 系统需支持展示每个变量的填充率，支持空值数据的人工补录功能；</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 系统需支持变量的排序及筛选；</w:t>
            </w:r>
            <w:r>
              <w:rPr>
                <w:rFonts w:hint="eastAsia"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7. 系统需支持T+1自动更新就诊数据至数据仓库内；</w:t>
            </w:r>
            <w:r>
              <w:rPr>
                <w:rFonts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专病患者列表功能：</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 系统需支持自动纳入符合入组条件的患者并标记新入组患者；</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 系统需支持展示专病库所有的纳入患者，患者数量，最新一例患者入组时间，并支持搜索、删除和管理患者；</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 系统需支持每个用户自定义关注变量并展示每个患者的变量结果；</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 系统需支持展示每个患者的专病库CRF表单填充进度，支持查看患者CRF表单的具体填充情况；</w:t>
            </w:r>
            <w:r>
              <w:rPr>
                <w:rFonts w:hint="eastAsia" w:ascii="宋体" w:hAnsi="宋体" w:cs="宋体"/>
                <w:bCs/>
                <w:color w:val="000000"/>
                <w:sz w:val="24"/>
                <w:szCs w:val="24"/>
                <w:highlight w:val="none"/>
              </w:rPr>
            </w:r>
            <w:r/>
          </w:p>
        </w:tc>
      </w:tr>
    </w:tbl>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胸部疾病类专病库（4个）</w:t>
      </w:r>
      <w:r>
        <w:rPr>
          <w:rFonts w:hint="eastAsia" w:ascii="宋体" w:hAnsi="宋体" w:cs="宋体"/>
          <w:bCs/>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984"/>
        <w:gridCol w:w="6877"/>
      </w:tblGrid>
      <w:tr>
        <w:trPr/>
        <w:tc>
          <w:tcPr>
            <w:tcW w:w="1101" w:type="dxa"/>
            <w:vAlign w:val="top"/>
            <w:textDirection w:val="lrTb"/>
            <w:noWrap w:val="false"/>
          </w:tcPr>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序号</w:t>
            </w:r>
            <w:r>
              <w:rPr>
                <w:rFonts w:ascii="宋体" w:hAnsi="宋体" w:cs="宋体"/>
                <w:bCs/>
                <w:color w:val="000000"/>
                <w:sz w:val="24"/>
                <w:szCs w:val="24"/>
                <w:highlight w:val="none"/>
              </w:rPr>
            </w:r>
            <w:r/>
          </w:p>
        </w:tc>
        <w:tc>
          <w:tcPr>
            <w:tcW w:w="1984" w:type="dxa"/>
            <w:vAlign w:val="top"/>
            <w:textDirection w:val="lrTb"/>
            <w:noWrap w:val="false"/>
          </w:tcPr>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名称</w:t>
            </w:r>
            <w:r>
              <w:rPr>
                <w:rFonts w:ascii="宋体" w:hAnsi="宋体" w:cs="宋体"/>
                <w:bCs/>
                <w:color w:val="000000"/>
                <w:sz w:val="24"/>
                <w:szCs w:val="24"/>
                <w:highlight w:val="none"/>
              </w:rPr>
            </w:r>
            <w:r/>
          </w:p>
        </w:tc>
        <w:tc>
          <w:tcPr>
            <w:tcW w:w="6877" w:type="dxa"/>
            <w:vAlign w:val="top"/>
            <w:textDirection w:val="lrTb"/>
            <w:noWrap w:val="false"/>
          </w:tcPr>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功能、性能、配置要求</w:t>
            </w:r>
            <w:r>
              <w:rPr>
                <w:rFonts w:ascii="宋体" w:hAnsi="宋体" w:cs="宋体"/>
                <w:bCs/>
                <w:color w:val="000000"/>
                <w:sz w:val="24"/>
                <w:szCs w:val="24"/>
                <w:highlight w:val="none"/>
              </w:rPr>
            </w:r>
            <w:r/>
          </w:p>
        </w:tc>
      </w:tr>
      <w:tr>
        <w:trPr/>
        <w:tc>
          <w:tcPr>
            <w:tcW w:w="1101" w:type="dxa"/>
            <w:vAlign w:val="top"/>
            <w:textDirection w:val="lrTb"/>
            <w:noWrap w:val="false"/>
          </w:tcPr>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r>
            <w:r/>
          </w:p>
        </w:tc>
        <w:tc>
          <w:tcPr>
            <w:tcW w:w="1984" w:type="dxa"/>
            <w:vAlign w:val="top"/>
            <w:textDirection w:val="lrTb"/>
            <w:noWrap w:val="false"/>
          </w:tcPr>
          <w:p>
            <w:pPr>
              <w:pStyle w:val="869"/>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非实质性要求</w:t>
            </w:r>
            <w:r>
              <w:rPr>
                <w:rFonts w:ascii="宋体" w:hAnsi="宋体" w:cs="宋体"/>
                <w:bCs/>
                <w:color w:val="000000"/>
                <w:sz w:val="24"/>
                <w:szCs w:val="24"/>
                <w:highlight w:val="none"/>
              </w:rPr>
            </w:r>
            <w:r/>
          </w:p>
          <w:p>
            <w:pPr>
              <w:pStyle w:val="869"/>
              <w:spacing w:line="264" w:lineRule="auto"/>
              <w:rPr>
                <w:rFonts w:ascii="宋体" w:hAnsi="宋体" w:cs="宋体"/>
                <w:bCs/>
                <w:color w:val="000000"/>
                <w:sz w:val="24"/>
                <w:szCs w:val="24"/>
                <w:highlight w:val="none"/>
              </w:rPr>
            </w:pPr>
            <w:r>
              <w:rPr>
                <w:rFonts w:ascii="宋体" w:hAnsi="宋体" w:cs="宋体"/>
                <w:bCs/>
                <w:color w:val="000000"/>
                <w:sz w:val="24"/>
                <w:szCs w:val="24"/>
                <w:highlight w:val="none"/>
              </w:rPr>
            </w:r>
            <w:r/>
          </w:p>
        </w:tc>
        <w:tc>
          <w:tcPr>
            <w:tcW w:w="6877" w:type="dxa"/>
            <w:vAlign w:val="top"/>
            <w:textDirection w:val="lrTb"/>
            <w:noWrap w:val="false"/>
          </w:tcPr>
          <w:p>
            <w:pPr>
              <w:pStyle w:val="869"/>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核心临床实体与字段深度要求</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患者信息：除基础人口学信息外，必须包含吸烟指数（包/年）、职业暴露史（如石棉、粉尘）、家族肿瘤史等胸部疾病关键风险因素。</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诊疗事件：以“就诊”为核心，串联门诊、住院、随访。字段需涵盖入院病情（危/急/一般）、入院途径、离院方式、主要诊断/出入院诊断（按ICD-10编码）。</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病灶信息（结构化描述）：针对胸部CT等影像，能结构化记录病灶位置（肺叶、肺段）、大小（长径、短径）、性质（实性、磨玻璃、部分实性）、影像特征（分叶、毛刺、胸膜牵拉）。支持同一患者多病灶、同病灶多次检查的纵向对比。</w:t>
            </w:r>
            <w:r>
              <w:rPr>
                <w:rFonts w:hint="eastAsia" w:ascii="宋体" w:hAnsi="宋体" w:cs="宋体"/>
                <w:bCs/>
                <w:color w:val="000000"/>
                <w:sz w:val="24"/>
                <w:szCs w:val="24"/>
                <w:highlight w:val="none"/>
              </w:rPr>
            </w:r>
            <w:r/>
          </w:p>
          <w:p>
            <w:pPr>
              <w:pStyle w:val="869"/>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关键诊疗过程与结局指标</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病理诊断：必须精细记录病理类型（如肺腺癌）、亚型（贴壁型、腺泡型等）、分化程度、PD-L1表达水平（TPS/CPS）、驱动基因检测结果（EGFR/ALK/ROS1等基因状态）。</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治疗信息：结构化记录治疗方案。如手术需包括术式（肺叶切除/楔形切除）、淋巴结清扫范围、手术入路；药物治疗需包括方案名称、药物名称、剂量、周期、疗效评价（RECIST标准）；放疗需包括靶区、剂量、技术。</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随访与预后：设定强制随访时间点。字段需包括生存状态、生存时间、复发/转移部位与时间、末次随访时间。对于肺癌，必须包含无进展生存期（PFS）与总生存期（OS） 的计算基础数据。</w:t>
            </w:r>
            <w:r>
              <w:rPr>
                <w:rFonts w:hint="eastAsia" w:ascii="宋体" w:hAnsi="宋体" w:cs="宋体"/>
                <w:bCs/>
                <w:color w:val="000000"/>
                <w:sz w:val="24"/>
                <w:szCs w:val="24"/>
                <w:highlight w:val="none"/>
              </w:rPr>
            </w:r>
            <w:r/>
          </w:p>
          <w:p>
            <w:pPr>
              <w:pStyle w:val="869"/>
              <w:spacing w:line="264"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数据标准化与系统对接技术要求</w:t>
            </w:r>
            <w:r>
              <w:rPr>
                <w:rFonts w:hint="eastAsia" w:ascii="宋体" w:hAnsi="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强制标准化字段：诊断、手术操作、药品、检验项目必须强制绑定标准编码（ICD-10、ICD-9-CM-3、ATC、LOINC），确保数据可分析。</w:t>
            </w:r>
            <w:r>
              <w:rPr>
                <w:rFonts w:hint="eastAsia" w:ascii="宋体" w:hAnsi="宋体" w:cs="宋体"/>
                <w:bCs/>
                <w:color w:val="000000"/>
                <w:sz w:val="24"/>
                <w:szCs w:val="24"/>
                <w:highlight w:val="none"/>
              </w:rPr>
            </w:r>
            <w:r/>
          </w:p>
          <w:p>
            <w:pPr>
              <w:pStyle w:val="869"/>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多源数据融合接口：除对接HIS、EMR、LIS、PACS获取结构化数据外，需特别设计从病理系统（PIS）获取结构化病理报告、从放疗系统（TIS）获取结构化放疗计划的专用接口。对于无法结构化的文本（如影像报告），需预设NLP处理流程，提取关键实体。</w:t>
            </w:r>
            <w:r>
              <w:rPr>
                <w:rFonts w:hint="eastAsia" w:ascii="宋体" w:hAnsi="宋体" w:cs="宋体"/>
                <w:bCs/>
                <w:color w:val="000000"/>
                <w:sz w:val="24"/>
                <w:szCs w:val="24"/>
                <w:highlight w:val="none"/>
              </w:rPr>
            </w:r>
            <w:r/>
          </w:p>
          <w:p>
            <w:pPr>
              <w:pStyle w:val="869"/>
              <w:spacing w:line="264" w:lineRule="auto"/>
              <w:rPr>
                <w:rFonts w:hint="eastAsia" w:ascii="宋体" w:hAnsi="宋体" w:cs="宋体"/>
                <w:b/>
                <w:bCs w:val="0"/>
                <w:color w:val="000000"/>
                <w:sz w:val="24"/>
                <w:szCs w:val="24"/>
                <w:highlight w:val="none"/>
              </w:rPr>
            </w:pPr>
            <w:r>
              <w:rPr>
                <w:rFonts w:hint="eastAsia" w:ascii="宋体" w:hAnsi="宋体" w:cs="宋体"/>
                <w:bCs/>
                <w:color w:val="000000"/>
                <w:sz w:val="24"/>
                <w:szCs w:val="24"/>
                <w:highlight w:val="none"/>
              </w:rPr>
              <w:t xml:space="preserve">质控规则：在接口层面设定临床逻辑质控规则，例如：若病理诊断为“肺腺癌”，则其后的治疗记录不应为空；若记录“死亡”，则死亡日期必须晚于末次治疗日期等，从源头提升数据质量。</w:t>
            </w:r>
            <w:r>
              <w:rPr>
                <w:rFonts w:hint="eastAsia" w:ascii="宋体" w:hAnsi="宋体" w:cs="宋体"/>
                <w:b/>
                <w:bCs w:val="0"/>
                <w:color w:val="000000"/>
                <w:sz w:val="24"/>
                <w:szCs w:val="24"/>
                <w:highlight w:val="none"/>
              </w:rPr>
            </w:r>
            <w:r/>
          </w:p>
        </w:tc>
      </w:tr>
    </w:tbl>
    <w:p>
      <w:pPr>
        <w:pStyle w:val="869"/>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869"/>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2.实施要求</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en-US"/>
        </w:rPr>
        <w:t xml:space="preserve">具有本地化服务能力。</w:t>
      </w:r>
      <w:r>
        <w:rPr>
          <w:rFonts w:hint="eastAsia" w:ascii="宋体" w:hAnsi="宋体" w:eastAsia="宋体" w:cs="宋体"/>
          <w:color w:val="000000"/>
          <w:sz w:val="24"/>
          <w:szCs w:val="24"/>
          <w:highlight w:val="none"/>
          <w:lang w:val="en-US"/>
        </w:rPr>
      </w:r>
      <w:r/>
    </w:p>
    <w:p>
      <w:pPr>
        <w:pStyle w:val="869"/>
        <w:ind w:firstLine="480"/>
        <w:keepLines w:val="0"/>
        <w:keepNext w:val="0"/>
        <w:pageBreakBefore w:val="0"/>
        <w:spacing w:line="264" w:lineRule="auto"/>
        <w:widowControl w:val="off"/>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应当具有良好的服务理念和完善的售后服务体系，能够按照投标响应内容提供系统集成技术支持服务。签订合同时提供服务承诺</w:t>
      </w:r>
      <w:r>
        <w:rPr>
          <w:rFonts w:hint="eastAsia" w:ascii="宋体" w:hAnsi="宋体" w:cs="宋体"/>
          <w:bCs/>
          <w:color w:val="000000"/>
          <w:sz w:val="24"/>
          <w:szCs w:val="24"/>
          <w:highlight w:val="none"/>
        </w:rPr>
        <w:t xml:space="preserve">函，服务需求应在0.5小时内响应，2小时内到场处理，2个工作日内解决，费用包含在报价中。</w:t>
      </w:r>
      <w:r>
        <w:rPr>
          <w:rFonts w:hint="eastAsia" w:ascii="宋体" w:hAnsi="宋体" w:cs="宋体"/>
          <w:bCs/>
          <w:color w:val="000000"/>
          <w:sz w:val="24"/>
          <w:szCs w:val="24"/>
          <w:highlight w:val="none"/>
        </w:rPr>
      </w:r>
      <w:r/>
    </w:p>
    <w:p>
      <w:pPr>
        <w:pStyle w:val="869"/>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根据采购人的业务特点和用户认知程度不同</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针对性</w:t>
      </w:r>
      <w:r>
        <w:rPr>
          <w:rFonts w:hint="eastAsia" w:ascii="宋体" w:hAnsi="宋体" w:cs="宋体"/>
          <w:bCs/>
          <w:color w:val="000000"/>
          <w:sz w:val="24"/>
          <w:szCs w:val="24"/>
          <w:highlight w:val="none"/>
        </w:rPr>
        <w:t xml:space="preserve">开展</w:t>
      </w:r>
      <w:r>
        <w:rPr>
          <w:rFonts w:hint="eastAsia" w:ascii="宋体" w:hAnsi="宋体" w:cs="宋体"/>
          <w:bCs/>
          <w:color w:val="000000"/>
          <w:sz w:val="24"/>
          <w:szCs w:val="24"/>
          <w:highlight w:val="none"/>
        </w:rPr>
        <w:t xml:space="preserve">系统而有效的培训，保证使用人员正规操作系统的各项功能。</w:t>
      </w:r>
      <w:r>
        <w:rPr>
          <w:rFonts w:hint="eastAsia" w:ascii="宋体" w:hAnsi="宋体" w:cs="宋体"/>
          <w:bCs/>
          <w:color w:val="000000"/>
          <w:sz w:val="24"/>
          <w:szCs w:val="24"/>
          <w:highlight w:val="none"/>
        </w:rPr>
      </w:r>
      <w:r/>
    </w:p>
    <w:p>
      <w:pPr>
        <w:pStyle w:val="869"/>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须提供软件与原厂同步升级。</w:t>
      </w:r>
      <w:r>
        <w:rPr>
          <w:rFonts w:hint="eastAsia" w:ascii="宋体" w:hAnsi="宋体" w:cs="宋体"/>
          <w:bCs/>
          <w:color w:val="000000"/>
          <w:sz w:val="24"/>
          <w:szCs w:val="24"/>
          <w:highlight w:val="none"/>
        </w:rPr>
      </w:r>
      <w:r/>
    </w:p>
    <w:p>
      <w:pPr>
        <w:pStyle w:val="869"/>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（5）所提供产品符合国家有关规定。</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须保证所提供产品具有合法的版权或使用权，本项目采购的产品，如在本项目范围内使用过程中出现版权或使用权纠纷，应由</w:t>
      </w:r>
      <w:r>
        <w:rPr>
          <w:rFonts w:hint="eastAsia" w:ascii="宋体" w:hAnsi="宋体" w:cs="宋体"/>
          <w:bCs/>
          <w:color w:val="000000"/>
          <w:sz w:val="24"/>
          <w:szCs w:val="24"/>
          <w:highlight w:val="none"/>
          <w:lang w:val="en-US" w:eastAsia="zh-CN"/>
        </w:rPr>
        <w:t xml:space="preserve">供应商</w:t>
      </w:r>
      <w:r>
        <w:rPr>
          <w:rFonts w:hint="eastAsia" w:ascii="宋体" w:hAnsi="宋体" w:cs="宋体"/>
          <w:bCs/>
          <w:color w:val="000000"/>
          <w:sz w:val="24"/>
          <w:szCs w:val="24"/>
          <w:highlight w:val="none"/>
        </w:rPr>
        <w:t xml:space="preserve">负责。</w:t>
      </w:r>
      <w:r>
        <w:rPr>
          <w:rFonts w:hint="eastAsia" w:ascii="宋体" w:hAnsi="宋体" w:cs="宋体"/>
          <w:bCs/>
          <w:color w:val="000000"/>
          <w:sz w:val="24"/>
          <w:szCs w:val="24"/>
          <w:highlight w:val="none"/>
        </w:rPr>
      </w:r>
      <w:r/>
    </w:p>
    <w:p>
      <w:pPr>
        <w:pStyle w:val="869"/>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须提供实施项目组人员名单，项目经理1人，负责整个项目的规划、执行和监控，确保项目目标的实现，项目经理须具有三年或以上工作经验，以及良好的沟通协调能力。技术负责人1人，为项目提供技术支持，负责整体项目的软件、硬件、质控内容。项目实施团队（除项目经理及技术负责人外）不少于</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人，实施期间保证至少两人在现场。</w:t>
      </w:r>
      <w:r>
        <w:rPr>
          <w:rFonts w:hint="eastAsia" w:ascii="宋体" w:hAnsi="宋体" w:cs="宋体"/>
          <w:bCs/>
          <w:color w:val="000000"/>
          <w:sz w:val="24"/>
          <w:szCs w:val="24"/>
          <w:highlight w:val="none"/>
        </w:rPr>
      </w:r>
      <w:r/>
    </w:p>
    <w:p>
      <w:pPr>
        <w:pStyle w:val="869"/>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（7）文档要求：项目实施计划、项目实施工作单、系统试运行和自测报告、验收报告、培训记录。</w:t>
      </w:r>
      <w:r>
        <w:rPr>
          <w:rFonts w:hint="eastAsia" w:ascii="宋体" w:hAnsi="宋体" w:cs="宋体"/>
          <w:bCs/>
          <w:color w:val="000000"/>
          <w:sz w:val="24"/>
          <w:szCs w:val="24"/>
          <w:highlight w:val="none"/>
        </w:rPr>
      </w:r>
      <w:r/>
    </w:p>
    <w:p>
      <w:pPr>
        <w:pStyle w:val="869"/>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（8）</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应遵守采购人有关安全的各项规章制度，如果发生因</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安全措施不力造成的事故或者其他工作失误，所产生的一切责任由</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承担。</w:t>
      </w:r>
      <w:r>
        <w:rPr>
          <w:rFonts w:hint="eastAsia" w:ascii="宋体" w:hAnsi="宋体" w:cs="宋体"/>
          <w:bCs/>
          <w:color w:val="000000"/>
          <w:sz w:val="24"/>
          <w:szCs w:val="24"/>
          <w:highlight w:val="none"/>
        </w:rPr>
      </w:r>
      <w:r/>
    </w:p>
    <w:p>
      <w:pPr>
        <w:pStyle w:val="869"/>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（9）质保要求</w:t>
      </w:r>
      <w:r>
        <w:rPr>
          <w:rFonts w:hint="eastAsia" w:ascii="宋体" w:hAnsi="宋体" w:cs="宋体"/>
          <w:bCs/>
          <w:color w:val="000000"/>
          <w:sz w:val="24"/>
          <w:szCs w:val="24"/>
          <w:highlight w:val="none"/>
        </w:rPr>
      </w:r>
      <w:r/>
    </w:p>
    <w:p>
      <w:pPr>
        <w:pStyle w:val="869"/>
        <w:ind w:firstLine="480"/>
        <w:spacing w:line="264" w:lineRule="auto"/>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整体包含三年</w:t>
      </w:r>
      <w:r>
        <w:rPr>
          <w:rFonts w:hint="eastAsia" w:ascii="宋体" w:hAnsi="宋体" w:cs="宋体"/>
          <w:bCs/>
          <w:color w:val="000000"/>
          <w:sz w:val="24"/>
          <w:szCs w:val="24"/>
          <w:highlight w:val="none"/>
          <w:lang w:val="en-US" w:eastAsia="zh-CN"/>
        </w:rPr>
        <w:t xml:space="preserve">质保</w:t>
      </w:r>
      <w:r>
        <w:rPr>
          <w:rFonts w:hint="eastAsia" w:ascii="宋体" w:hAnsi="宋体" w:cs="宋体"/>
          <w:bCs/>
          <w:color w:val="000000"/>
          <w:sz w:val="24"/>
          <w:szCs w:val="24"/>
          <w:highlight w:val="none"/>
        </w:rPr>
        <w:t xml:space="preserve">服务（包含设备硬件质保、软件升级、软件维护、应急保障服务，服务形式包括且不限于电话咨询、企业微信群支持、邮件互动、上门技术支持、远程支持等）</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相关费用包含在本次报价中。质保</w:t>
      </w:r>
      <w:r>
        <w:rPr>
          <w:rFonts w:hint="eastAsia" w:ascii="宋体" w:hAnsi="宋体" w:cs="宋体"/>
          <w:bCs/>
          <w:color w:val="000000"/>
          <w:sz w:val="24"/>
          <w:szCs w:val="24"/>
          <w:highlight w:val="none"/>
        </w:rPr>
        <w:t xml:space="preserve">服务</w:t>
      </w:r>
      <w:r>
        <w:rPr>
          <w:rFonts w:hint="eastAsia" w:ascii="宋体" w:hAnsi="宋体" w:cs="宋体"/>
          <w:bCs/>
          <w:color w:val="000000"/>
          <w:sz w:val="24"/>
          <w:szCs w:val="24"/>
          <w:highlight w:val="none"/>
          <w:lang w:val="en-US" w:eastAsia="zh-CN"/>
        </w:rPr>
        <w:t xml:space="preserve">到</w:t>
      </w:r>
      <w:r>
        <w:rPr>
          <w:rFonts w:hint="eastAsia" w:ascii="宋体" w:hAnsi="宋体" w:cs="宋体"/>
          <w:bCs/>
          <w:color w:val="000000"/>
          <w:sz w:val="24"/>
          <w:szCs w:val="24"/>
          <w:highlight w:val="none"/>
          <w:lang w:val="en-US" w:eastAsia="zh-CN"/>
        </w:rPr>
        <w:t xml:space="preserve">期后，年维保费用，不超过合同总金额的5%。</w:t>
      </w:r>
      <w:r>
        <w:rPr>
          <w:rFonts w:ascii="宋体" w:hAnsi="宋体" w:eastAsia="宋体" w:cs="宋体"/>
          <w:bCs/>
          <w:color w:val="000000"/>
          <w:sz w:val="24"/>
          <w:szCs w:val="24"/>
          <w:highlight w:val="none"/>
          <w:lang w:val="en-US" w:eastAsia="zh-CN"/>
        </w:rPr>
      </w:r>
      <w:r/>
    </w:p>
    <w:p>
      <w:pPr>
        <w:pStyle w:val="869"/>
        <w:ind w:firstLine="480"/>
        <w:spacing w:line="264"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（10）项目验收</w:t>
      </w:r>
      <w:r>
        <w:rPr>
          <w:rFonts w:hint="eastAsia" w:ascii="宋体" w:hAnsi="宋体" w:cs="宋体"/>
          <w:bCs/>
          <w:color w:val="000000"/>
          <w:sz w:val="24"/>
          <w:szCs w:val="24"/>
          <w:highlight w:val="none"/>
        </w:rPr>
      </w:r>
      <w:r/>
    </w:p>
    <w:p>
      <w:pPr>
        <w:pStyle w:val="869"/>
        <w:ind w:firstLine="480"/>
        <w:spacing w:line="264"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系统主要技术指标不得低于采购文件的要求，并根据实际需求完成应用系统的设计、开发、测试和集成工作，达到功能、性能、使用等方面的要求；文档齐全；系统达到院方需求和系统设计目标；应用系统运行稳定；</w:t>
      </w:r>
      <w:r>
        <w:rPr>
          <w:rFonts w:hint="eastAsia" w:ascii="宋体" w:hAnsi="宋体" w:cs="宋体"/>
          <w:bCs/>
          <w:color w:val="000000"/>
          <w:sz w:val="24"/>
          <w:szCs w:val="24"/>
          <w:highlight w:val="none"/>
          <w:lang w:eastAsia="zh-CN"/>
        </w:rPr>
        <w:t xml:space="preserve">供应商</w:t>
      </w:r>
      <w:r>
        <w:rPr>
          <w:rFonts w:hint="eastAsia" w:ascii="宋体" w:hAnsi="宋体" w:cs="宋体"/>
          <w:bCs/>
          <w:color w:val="000000"/>
          <w:sz w:val="24"/>
          <w:szCs w:val="24"/>
          <w:highlight w:val="none"/>
        </w:rPr>
        <w:t xml:space="preserve">应承诺在项目验收时移交技术文档，包括但不限于：需求分析说明书、概要设计说明书、详细设计说明书、总体设计报告、数据字典、测试报告、操作使用说明书、系统维护手册，承诺</w:t>
      </w:r>
      <w:r>
        <w:rPr>
          <w:rFonts w:hint="eastAsia" w:ascii="宋体" w:hAnsi="宋体" w:cs="宋体"/>
          <w:bCs/>
          <w:color w:val="000000"/>
          <w:sz w:val="24"/>
          <w:szCs w:val="24"/>
          <w:highlight w:val="none"/>
          <w:lang w:val="en-US" w:eastAsia="zh-CN"/>
        </w:rPr>
        <w:t xml:space="preserve">采购人</w:t>
      </w:r>
      <w:r>
        <w:rPr>
          <w:rFonts w:hint="eastAsia" w:ascii="宋体" w:hAnsi="宋体" w:cs="宋体"/>
          <w:bCs/>
          <w:color w:val="000000"/>
          <w:sz w:val="24"/>
          <w:szCs w:val="24"/>
          <w:highlight w:val="none"/>
        </w:rPr>
        <w:t xml:space="preserve">拥有整个系统的永久使用权和修改权。</w:t>
      </w:r>
      <w:r>
        <w:rPr>
          <w:rFonts w:hint="eastAsia" w:ascii="宋体" w:hAnsi="宋体" w:cs="宋体"/>
          <w:color w:val="000000"/>
          <w:sz w:val="24"/>
          <w:szCs w:val="24"/>
          <w:highlight w:val="none"/>
        </w:rPr>
      </w:r>
      <w:r/>
    </w:p>
    <w:p>
      <w:pPr>
        <w:pStyle w:val="869"/>
        <w:ind w:firstLine="480"/>
        <w:spacing w:line="264"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w:t>
      </w:r>
      <w:r>
        <w:rPr>
          <w:rFonts w:ascii="宋体" w:hAnsi="宋体" w:cs="宋体"/>
          <w:bCs/>
          <w:color w:val="000000"/>
          <w:sz w:val="24"/>
          <w:szCs w:val="24"/>
          <w:highlight w:val="none"/>
        </w:rPr>
        <w:t xml:space="preserve">付款条件</w:t>
      </w:r>
      <w:r>
        <w:rPr>
          <w:rFonts w:ascii="宋体" w:hAnsi="宋体" w:cs="宋体"/>
          <w:bCs/>
          <w:color w:val="000000"/>
          <w:sz w:val="24"/>
          <w:szCs w:val="24"/>
          <w:highlight w:val="none"/>
        </w:rPr>
      </w:r>
      <w:r/>
    </w:p>
    <w:p>
      <w:pPr>
        <w:pStyle w:val="869"/>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以第三章合同文本</w:t>
      </w:r>
      <w:r>
        <w:rPr>
          <w:rFonts w:hint="eastAsia" w:ascii="宋体" w:hAnsi="宋体" w:cs="宋体"/>
          <w:color w:val="000000"/>
          <w:sz w:val="24"/>
          <w:szCs w:val="24"/>
          <w:highlight w:val="none"/>
        </w:rPr>
        <w:t xml:space="preserve">内容</w:t>
      </w:r>
      <w:r>
        <w:rPr>
          <w:rFonts w:ascii="宋体" w:hAnsi="宋体" w:cs="宋体"/>
          <w:color w:val="000000"/>
          <w:sz w:val="24"/>
          <w:szCs w:val="24"/>
          <w:highlight w:val="none"/>
        </w:rPr>
        <w:t xml:space="preserve">为准。</w:t>
      </w:r>
      <w:r>
        <w:rPr>
          <w:rFonts w:ascii="宋体" w:hAnsi="宋体" w:cs="宋体"/>
          <w:color w:val="000000"/>
          <w:sz w:val="24"/>
          <w:szCs w:val="24"/>
          <w:highlight w:val="none"/>
        </w:rPr>
      </w:r>
      <w:r/>
    </w:p>
    <w:p>
      <w:pPr>
        <w:pStyle w:val="869"/>
        <w:ind w:firstLine="480"/>
        <w:spacing w:line="264"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交付时间及地点</w:t>
      </w:r>
      <w:r>
        <w:rPr>
          <w:rFonts w:ascii="宋体" w:hAnsi="宋体" w:cs="宋体"/>
          <w:color w:val="000000"/>
          <w:sz w:val="24"/>
          <w:szCs w:val="24"/>
          <w:highlight w:val="none"/>
        </w:rPr>
      </w:r>
      <w:r/>
    </w:p>
    <w:p>
      <w:pPr>
        <w:pStyle w:val="869"/>
        <w:ind w:firstLine="480"/>
        <w:spacing w:line="264" w:lineRule="auto"/>
        <w:rPr>
          <w:rFonts w:ascii="宋体" w:hAnsi="宋体" w:cs="宋体"/>
          <w:color w:val="000000"/>
          <w:sz w:val="24"/>
          <w:szCs w:val="24"/>
          <w:highlight w:val="none"/>
        </w:rPr>
      </w:pPr>
      <w:r>
        <w:rPr>
          <w:rFonts w:ascii="宋体" w:hAnsi="宋体" w:cs="宋体"/>
          <w:color w:val="000000"/>
          <w:sz w:val="24"/>
          <w:szCs w:val="24"/>
          <w:highlight w:val="none"/>
        </w:rPr>
        <w:t xml:space="preserve">（1）交付时间：合同签订后</w:t>
      </w:r>
      <w:r>
        <w:rPr>
          <w:rFonts w:hint="eastAsia" w:ascii="宋体" w:hAnsi="宋体" w:cs="宋体"/>
          <w:bCs/>
          <w:color w:val="000000"/>
          <w:sz w:val="24"/>
          <w:szCs w:val="24"/>
          <w:highlight w:val="none"/>
        </w:rPr>
        <w:t xml:space="preserve">90</w:t>
      </w:r>
      <w:r>
        <w:rPr>
          <w:rFonts w:ascii="宋体" w:hAnsi="宋体" w:cs="宋体"/>
          <w:color w:val="000000"/>
          <w:sz w:val="24"/>
          <w:szCs w:val="24"/>
          <w:highlight w:val="none"/>
        </w:rPr>
        <w:t xml:space="preserve">天内交付并完成安装调试及验收等相关工作</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69"/>
        <w:ind w:firstLine="480"/>
        <w:spacing w:line="264"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（2）交付地点：采购人指定地点</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69"/>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5.履约保证金</w:t>
      </w:r>
      <w:r>
        <w:rPr>
          <w:rFonts w:hint="eastAsia" w:ascii="宋体" w:hAnsi="宋体" w:cs="宋体"/>
          <w:color w:val="000000"/>
          <w:sz w:val="24"/>
          <w:szCs w:val="24"/>
          <w:highlight w:val="none"/>
        </w:rPr>
      </w:r>
      <w:r/>
    </w:p>
    <w:p>
      <w:pPr>
        <w:pStyle w:val="869"/>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rPr>
        <w:t xml:space="preserve">本项目无需缴纳履约保证金。</w:t>
      </w:r>
      <w:r>
        <w:rPr>
          <w:rFonts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供应商在签订合同向采购人提供上述相关证明材料原件核验。</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9"/>
        <w:ind w:firstLine="480"/>
        <w:spacing w:line="264"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（三）</w:t>
      </w:r>
      <w:r>
        <w:rPr>
          <w:rFonts w:hint="eastAsia" w:ascii="宋体" w:hAnsi="宋体" w:cs="宋体"/>
          <w:color w:val="000000"/>
          <w:sz w:val="24"/>
          <w:szCs w:val="24"/>
          <w:highlight w:val="none"/>
        </w:rPr>
        <w:t xml:space="preserve">演示要求</w:t>
      </w:r>
      <w:r>
        <w:rPr>
          <w:rFonts w:hint="eastAsia" w:ascii="宋体" w:hAnsi="宋体" w:cs="宋体"/>
          <w:color w:val="000000"/>
          <w:sz w:val="24"/>
          <w:szCs w:val="24"/>
          <w:highlight w:val="none"/>
        </w:rPr>
      </w:r>
      <w:r/>
    </w:p>
    <w:p>
      <w:pPr>
        <w:pStyle w:val="869"/>
        <w:ind w:firstLine="480"/>
        <w:spacing w:line="264"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1.视频文件的格式为*.mp4或*.avi，</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须将视频文件压缩为*.zip文件上传（单个文件不得大于50M，所有文件合计不得大于300M）。文件上传方式见苏采云系统操作指南，上传的演示视频将作为响应文件的组成部分。视频时长总计不超过10分钟。</w:t>
      </w:r>
      <w:r>
        <w:rPr>
          <w:rFonts w:hint="eastAsia" w:ascii="宋体" w:hAnsi="宋体" w:cs="宋体"/>
          <w:color w:val="000000"/>
          <w:sz w:val="24"/>
          <w:szCs w:val="24"/>
          <w:highlight w:val="none"/>
        </w:rPr>
      </w:r>
      <w:r/>
    </w:p>
    <w:p>
      <w:pPr>
        <w:pStyle w:val="947"/>
        <w:ind w:left="0" w:firstLine="420"/>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2.演示内容详见“第五章  评审方法与评审标准”。</w:t>
      </w:r>
      <w:r>
        <w:rPr>
          <w:rFonts w:hint="eastAsia" w:ascii="宋体" w:hAnsi="宋体" w:eastAsia="宋体" w:cs="宋体"/>
          <w:color w:val="000000"/>
          <w:sz w:val="24"/>
          <w:szCs w:val="24"/>
          <w:highlight w:val="none"/>
        </w:rPr>
      </w:r>
      <w:r/>
    </w:p>
    <w:p>
      <w:pPr>
        <w:pStyle w:val="869"/>
        <w:rPr>
          <w:rFonts w:hint="eastAsia"/>
          <w:color w:val="000000"/>
          <w:highlight w:val="none"/>
        </w:rPr>
      </w:pPr>
      <w:r>
        <w:rPr>
          <w:rFonts w:hint="eastAsia"/>
          <w:color w:val="000000"/>
          <w:highlight w:val="none"/>
        </w:rPr>
      </w:r>
      <w:r/>
    </w:p>
    <w:p>
      <w:pPr>
        <w:pStyle w:val="94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195" w:name="_Toc120614281"/>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pacing w:val="-3"/>
          <w:sz w:val="21"/>
          <w:szCs w:val="21"/>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869"/>
        <w:ind w:firstLine="420"/>
        <w:keepLines w:val="0"/>
        <w:keepNext w:val="0"/>
        <w:pageBreakBefore w:val="0"/>
        <w:spacing w:line="240" w:lineRule="auto"/>
        <w:widowControl/>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991"/>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69"/>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412"/>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869"/>
              <w:jc w:val="left"/>
              <w:keepLines w:val="0"/>
              <w:keepNext w:val="0"/>
              <w:pageBreakBefore w:val="0"/>
              <w:spacing w:line="264" w:lineRule="auto"/>
              <w:widowControl w:val="off"/>
              <w:rPr>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w:t>
            </w:r>
            <w:r>
              <w:rPr>
                <w:rFonts w:hint="eastAsia"/>
                <w:color w:val="000000"/>
                <w:sz w:val="21"/>
                <w:szCs w:val="21"/>
                <w:highlight w:val="none"/>
                <w:lang w:eastAsia="zh-CN"/>
              </w:rPr>
              <w:t xml:space="preserve">供应商</w:t>
            </w:r>
            <w:r>
              <w:rPr>
                <w:color w:val="000000"/>
                <w:sz w:val="21"/>
                <w:szCs w:val="21"/>
                <w:highlight w:val="none"/>
              </w:rPr>
              <w:t xml:space="preserve">的价格分统一按照下列公式计算：投标报价得分=(评标基准价/投标报价)×</w:t>
            </w:r>
            <w:r>
              <w:rPr>
                <w:rFonts w:hint="eastAsia"/>
                <w:color w:val="000000"/>
                <w:sz w:val="21"/>
                <w:szCs w:val="21"/>
                <w:highlight w:val="none"/>
                <w:lang w:val="en-US" w:eastAsia="zh-CN"/>
              </w:rPr>
              <w:t xml:space="preserve">价格分值（小数点保留两位）</w:t>
            </w:r>
            <w:r>
              <w:rPr>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869"/>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打▲指标为重要指标，有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其余指标有</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项负偏离扣</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分，扣完为止。</w:t>
            </w:r>
            <w:r>
              <w:rPr>
                <w:color w:val="000000"/>
                <w:sz w:val="21"/>
                <w:szCs w:val="21"/>
                <w:highlight w:val="none"/>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项目建设方案</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供应商提供针对本项目的项目建设方案综合评分，包括:1.进度计划方案；2.项目管理方案；3.项目风险评估及控制方案,(每项内容逐条阐述)</w:t>
            </w:r>
            <w:r>
              <w:rPr>
                <w:rFonts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（1）上述每项内容科学、合理、可行的，得1分； </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（2）上述每项内容基本合理、可行的，得0.5分；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（3）上述每项内容不可行或未提供的，不得分。 </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315"/>
        </w:trPr>
        <w:tc>
          <w:tcPr>
            <w:tcW w:w="519"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2.3</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实施验收方案</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供应商提供针对本项目的实施验收方案综合评分，包括：1.实施组织方案；2.项目难点；3.质量控制管理；4.项目验收方案。（每项内容逐条阐述）</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（1）上述每项内容科学、合理、可行的，得1分；  </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（2）上述每项内容基本合理、可行的，得0.5分；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（3）上述每项内容不可行或未提供的，不得分。</w:t>
            </w:r>
            <w:r>
              <w:rPr>
                <w:rFonts w:hint="eastAsia"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889"/>
        </w:trPr>
        <w:tc>
          <w:tcPr>
            <w:tcW w:w="519"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2.4</w:t>
            </w:r>
            <w:r>
              <w:rPr>
                <w:rFonts w:ascii="宋体" w:hAnsi="宋体" w:eastAsia="宋体" w:cs="宋体"/>
                <w:color w:val="000000"/>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培训及售后服务方案</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供应商提供针对本项目的培训及售后服务方案综合评分，包括：1.售后服务响应机制；2.技术支持方式；3.售后应急预案；4.培训方案（每项内容逐条阐述）</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（1）上述每项内容科学、合理、可行的，得2分；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（2）上述每项内容基本合理、可行的，得1分；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（3）上述每项内容不可行或未提供的，不得分。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889"/>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2.5</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视频演示</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评委根据供应商提供以下演示内容综合评分：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一：专病库首页功能：（以下每项采用类似真实系统成功演示的得2分，最高得2分；采用系统原型（DEMO）或 PPT成功演示的得1分。）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（1）系统需支持纳排条件展示，入组患者数量，样本时间跨度展示； </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（2）系统需支持T+1自动更新并告知新入组的患者；</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（3）系统需支持每个用户自定义关注变量并在首页展示关注变量的数据情况；</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（4）系统需支持展示关注变量的数据填充情况；系统需支持展示关注变量的结果可视化分布图</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二：数据仓库功能功能：（以下每项采用类似真实系统成功演示的得2分，最高得2分；采用系统原型（DEMO）或 PPT成功演示的得1分。）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系统需支持以二维表形式进行专病库数据集的专病域及变量的展示，包括患者基本信息，就诊记录，症状，诊断，实验室检查，药物治疗，影像学检查，既往病史，个人史，嗜好品信息，婚育史，家族史，体格检查，生命体征，护理记录等； </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（2）系统需支持通过切换专病域查看变量及患者数据；系统需支持父子关系域的层级展示，支持自由选择父子变量是否展示在同一张表内；</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（3）系统需支持展示当前域下专病库内的患者总数、变量数及总计记录条数；</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三：专病患者列表功能（以下每项采用类似真实系统成功演示的得2分，最高得2分；采用系统原型（DEMO）或 PPT成功演示的得1分。）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（1）系统需支持自动纳入符合入组条件的患者并标记新入组患者；</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（2）系统需支持展示专病库所有的纳入患者，患者数量，最新一例患者入组时间，并支持搜索、删除和管理患者；</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（3）系统需支持展示每个患者的专病库CRF表单填充进度，支持查看患者CRF表单的具体填充情况；</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（未提供视频文件或因供应商自身原因视频文件无法打开或视频画面不清晰无法辨认的不得分。）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455"/>
        </w:trPr>
        <w:tc>
          <w:tcPr>
            <w:gridSpan w:val="5"/>
            <w:tcW w:w="9575" w:type="dxa"/>
            <w:vAlign w:val="center"/>
            <w:textDirection w:val="lrTb"/>
            <w:noWrap w:val="false"/>
          </w:tcPr>
          <w:p>
            <w:pPr>
              <w:pStyle w:val="869"/>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3.业绩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3</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供应商</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869"/>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eastAsia="宋体" w:cs="宋体"/>
                <w:color w:val="000000"/>
                <w:sz w:val="21"/>
                <w:szCs w:val="21"/>
                <w:highlight w:val="none"/>
              </w:rPr>
              <w:t xml:space="preserve">提供自2023年1月1日</w:t>
            </w:r>
            <w:r>
              <w:rPr>
                <w:rFonts w:hint="eastAsia" w:ascii="宋体" w:hAnsi="宋体" w:eastAsia="宋体" w:cs="宋体"/>
                <w:color w:val="000000"/>
                <w:sz w:val="21"/>
                <w:szCs w:val="21"/>
                <w:highlight w:val="none"/>
                <w:lang w:val="en-US" w:eastAsia="zh-CN"/>
              </w:rPr>
              <w:t xml:space="preserve">以来</w:t>
            </w: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完成的类似项目业绩进行评分；每提供一份业绩得3分，最高9分</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w:t>
            </w:r>
            <w:r>
              <w:rPr>
                <w:rFonts w:ascii="宋体" w:hAnsi="宋体" w:eastAsia="宋体" w:cs="宋体"/>
                <w:color w:val="000000"/>
                <w:sz w:val="21"/>
                <w:szCs w:val="21"/>
                <w:highlight w:val="none"/>
                <w:lang w:val="en-US" w:eastAsia="zh-CN"/>
              </w:rPr>
              <w:t xml:space="preserve">须清晰可见相应内容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ascii="宋体" w:hAnsi="宋体" w:eastAsia="宋体" w:cs="宋体"/>
                <w:color w:val="000000"/>
                <w:sz w:val="21"/>
                <w:szCs w:val="21"/>
                <w:highlight w:val="none"/>
                <w:lang w:val="en-US" w:eastAsia="zh-CN"/>
              </w:rPr>
              <w:t xml:space="preserve">9</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869"/>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4.履约能力</w:t>
            </w:r>
            <w:r>
              <w:rPr>
                <w:rFonts w:ascii="宋体" w:hAnsi="宋体" w:eastAsia="宋体" w:cs="宋体"/>
                <w:color w:val="000000"/>
                <w:sz w:val="21"/>
                <w:szCs w:val="21"/>
                <w:highlight w:val="none"/>
              </w:rPr>
            </w:r>
            <w:r/>
          </w:p>
        </w:tc>
      </w:tr>
      <w:tr>
        <w:trPr>
          <w:trHeight w:val="387"/>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6330" w:type="dxa"/>
            <w:vAlign w:val="center"/>
            <w:textDirection w:val="lrTb"/>
            <w:noWrap w:val="false"/>
          </w:tcPr>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拟参与本项目的项目经理具有：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信息系统项目管理师证书、注册信息安全专业人员（CISP）证书，ITSS-IT服务工程师证书，网络信息安全管理员证书，每提供一项得0.5分，本项最高得2分。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拟参与本项目的技术负责人（除</w:t>
            </w:r>
            <w:r>
              <w:rPr>
                <w:rFonts w:hint="eastAsia" w:ascii="宋体" w:hAnsi="宋体" w:eastAsia="宋体" w:cs="宋体"/>
                <w:color w:val="000000"/>
                <w:sz w:val="21"/>
                <w:szCs w:val="21"/>
                <w:highlight w:val="none"/>
                <w:lang w:val="en-US" w:eastAsia="zh-CN"/>
              </w:rPr>
              <w:t xml:space="preserve">项目经理外</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信息安全专业人员（CISP），软件设计师，IT服务工程师，</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每提供一项得0.5分，本项最高得1.5分。</w:t>
            </w:r>
            <w:r>
              <w:rPr>
                <w:rFonts w:hint="eastAsia" w:ascii="宋体" w:hAnsi="宋体" w:eastAsia="宋体" w:cs="宋体"/>
                <w:color w:val="000000"/>
                <w:sz w:val="21"/>
                <w:szCs w:val="21"/>
                <w:highlight w:val="none"/>
                <w:lang w:val="en-US" w:eastAsia="zh-CN"/>
              </w:rPr>
            </w:r>
            <w:r/>
          </w:p>
          <w:p>
            <w:pPr>
              <w:pStyle w:val="869"/>
              <w:jc w:val="left"/>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拟参与本项目的团队成员</w:t>
            </w:r>
            <w:r>
              <w:rPr>
                <w:rFonts w:hint="eastAsia" w:ascii="宋体" w:hAnsi="宋体" w:eastAsia="宋体" w:cs="宋体"/>
                <w:color w:val="000000"/>
                <w:sz w:val="21"/>
                <w:szCs w:val="21"/>
                <w:highlight w:val="none"/>
                <w:lang w:val="en-US" w:eastAsia="zh-CN"/>
              </w:rPr>
              <w:t xml:space="preserve">（除项目经理及技术负责人外）</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信息系统项目管理师证书，注册信息安全专业人员（CISP）证书，软件设计师证书，高级工程师证书，网络工程师证书，每提供一项得0.5分，本项最高得2.5分。一人多证不计分。</w:t>
            </w:r>
            <w:r>
              <w:rPr>
                <w:rFonts w:hint="eastAsia"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（提供人员证书复印件及</w:t>
            </w:r>
            <w:r>
              <w:rPr>
                <w:rFonts w:hint="eastAsia" w:ascii="宋体" w:hAnsi="宋体" w:eastAsia="宋体" w:cs="宋体"/>
                <w:color w:val="000000"/>
                <w:sz w:val="21"/>
                <w:szCs w:val="21"/>
                <w:highlight w:val="none"/>
                <w:lang w:val="en-US" w:eastAsia="zh-CN"/>
              </w:rPr>
              <w:t xml:space="preserve">供应商为其缴纳的 2025 年9月以来任意一</w:t>
            </w:r>
            <w:r>
              <w:rPr>
                <w:rFonts w:hint="eastAsia" w:ascii="宋体" w:hAnsi="宋体" w:eastAsia="宋体" w:cs="宋体"/>
                <w:color w:val="000000"/>
                <w:sz w:val="21"/>
                <w:szCs w:val="21"/>
                <w:highlight w:val="none"/>
                <w:lang w:val="en-US" w:eastAsia="zh-CN"/>
              </w:rPr>
              <w:t xml:space="preserve">个月的社保证明，未提供不得分。</w:t>
            </w:r>
            <w:r>
              <w:rPr>
                <w:rFonts w:ascii="宋体" w:hAnsi="宋体" w:eastAsia="宋体" w:cs="宋体"/>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9"/>
              <w:jc w:val="center"/>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hint="eastAsia" w:ascii="宋体" w:hAnsi="宋体" w:eastAsia="宋体" w:cs="宋体"/>
                <w:color w:val="000000"/>
                <w:sz w:val="21"/>
                <w:szCs w:val="21"/>
                <w:highlight w:val="none"/>
                <w:lang w:val="en-US" w:eastAsia="zh-CN"/>
              </w:rPr>
            </w:r>
            <w:r/>
          </w:p>
        </w:tc>
      </w:tr>
      <w:tr>
        <w:trPr>
          <w:trHeight w:val="383"/>
        </w:trPr>
        <w:tc>
          <w:tcPr>
            <w:tcW w:w="519" w:type="dxa"/>
            <w:vAlign w:val="center"/>
            <w:textDirection w:val="lrTb"/>
            <w:noWrap w:val="false"/>
          </w:tcPr>
          <w:p>
            <w:pPr>
              <w:pStyle w:val="869"/>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4.3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869"/>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2</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869"/>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所投产品具有软件著作权证书，关键字包含“科研”或“专病”。</w:t>
            </w:r>
            <w:r>
              <w:rPr>
                <w:rFonts w:hint="eastAsia" w:ascii="宋体" w:hAnsi="宋体" w:eastAsia="宋体" w:cs="宋体"/>
                <w:color w:val="000000"/>
                <w:sz w:val="21"/>
                <w:szCs w:val="21"/>
                <w:highlight w:val="none"/>
              </w:rPr>
            </w:r>
            <w:r/>
          </w:p>
          <w:p>
            <w:pPr>
              <w:pStyle w:val="869"/>
              <w:jc w:val="both"/>
              <w:keepLines w:val="0"/>
              <w:keepNext w:val="0"/>
              <w:pageBreakBefore w:val="0"/>
              <w:spacing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每提供一份得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分，最高得6分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提供证书。</w:t>
            </w:r>
            <w:r>
              <w:rPr>
                <w:rFonts w:ascii="宋体" w:hAnsi="宋体" w:eastAsia="宋体" w:cs="宋体"/>
                <w:color w:val="000000"/>
                <w:sz w:val="21"/>
                <w:szCs w:val="21"/>
                <w:highlight w:val="none"/>
                <w:lang w:val="en-US" w:eastAsia="zh-CN"/>
              </w:rPr>
            </w:r>
            <w:r/>
          </w:p>
          <w:p>
            <w:pPr>
              <w:pStyle w:val="869"/>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hint="eastAsia"/>
                <w:color w:val="000000"/>
                <w:sz w:val="21"/>
                <w:szCs w:val="21"/>
                <w:highlight w:val="none"/>
                <w:lang w:val="en-US" w:eastAsia="zh-CN"/>
              </w:rPr>
            </w:r>
            <w:r/>
          </w:p>
        </w:tc>
        <w:tc>
          <w:tcPr>
            <w:tcW w:w="647"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9"/>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6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869"/>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869"/>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869"/>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69"/>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869"/>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947"/>
        <w:rPr>
          <w:rFonts w:hint="eastAsia"/>
          <w:color w:val="000000"/>
          <w:highlight w:val="none"/>
        </w:rPr>
      </w:pPr>
      <w:r>
        <w:rPr>
          <w:rFonts w:hint="eastAsia"/>
          <w:color w:val="000000"/>
          <w:highlight w:val="none"/>
        </w:rPr>
      </w:r>
      <w:r/>
    </w:p>
    <w:p>
      <w:pPr>
        <w:pStyle w:val="869"/>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191"/>
      <w:r/>
      <w:bookmarkEnd w:id="192"/>
      <w:r/>
      <w:bookmarkEnd w:id="195"/>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869"/>
        <w:jc w:val="center"/>
        <w:rPr>
          <w:rFonts w:hint="eastAsia" w:ascii="宋体" w:hAnsi="宋体"/>
          <w:b/>
          <w:color w:val="000000"/>
          <w:sz w:val="72"/>
          <w:highlight w:val="none"/>
        </w:rPr>
      </w:pPr>
      <w:r/>
      <w:bookmarkStart w:id="196" w:name="_Hlt26955039"/>
      <w:r/>
      <w:bookmarkEnd w:id="196"/>
      <w:r/>
      <w:bookmarkStart w:id="197" w:name="_Hlt26671244"/>
      <w:r/>
      <w:bookmarkEnd w:id="197"/>
      <w:r/>
      <w:bookmarkStart w:id="198" w:name="_Toc26554094"/>
      <w:r/>
      <w:bookmarkStart w:id="199" w:name="_Toc49090576"/>
      <w:r/>
      <w:bookmarkStart w:id="200" w:name="_Toc120614282"/>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72"/>
          <w:highlight w:val="none"/>
        </w:rPr>
      </w:pPr>
      <w:r>
        <w:rPr>
          <w:rFonts w:hint="eastAsia" w:ascii="宋体" w:hAnsi="宋体"/>
          <w:b/>
          <w:color w:val="000000"/>
          <w:sz w:val="72"/>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jc w:val="center"/>
        <w:rPr>
          <w:rFonts w:hint="eastAsia" w:ascii="宋体" w:hAnsi="宋体"/>
          <w:b/>
          <w:color w:val="000000"/>
          <w:sz w:val="36"/>
          <w:highlight w:val="none"/>
        </w:rPr>
      </w:pPr>
      <w:r>
        <w:rPr>
          <w:rFonts w:hint="eastAsia" w:ascii="宋体" w:hAnsi="宋体"/>
          <w:b/>
          <w:color w:val="000000"/>
          <w:sz w:val="36"/>
          <w:highlight w:val="none"/>
        </w:rPr>
      </w:r>
      <w:r/>
    </w:p>
    <w:p>
      <w:pPr>
        <w:pStyle w:val="869"/>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869"/>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highlight w:val="none"/>
        </w:rPr>
      </w:pPr>
      <w:r>
        <w:rPr>
          <w:rFonts w:ascii="宋体" w:hAnsi="宋体"/>
          <w:color w:val="000000"/>
          <w:highlight w:val="none"/>
        </w:rPr>
      </w:r>
      <w:r/>
    </w:p>
    <w:p>
      <w:pPr>
        <w:pStyle w:val="869"/>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宋体" w:hAnsi="宋体"/>
          <w:b/>
          <w:bCs/>
          <w:color w:val="000000"/>
          <w:sz w:val="32"/>
          <w:szCs w:val="32"/>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938"/>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十二、分包承诺书（如有）</w:t>
      </w:r>
      <w:r>
        <w:rPr>
          <w:rFonts w:hint="eastAsia" w:ascii="宋体" w:hAnsi="宋体" w:eastAsia="宋体" w:cs="宋体"/>
          <w:b w:val="0"/>
          <w:bCs w:val="0"/>
          <w:i w:val="0"/>
          <w:color w:val="000000"/>
          <w:sz w:val="28"/>
          <w:szCs w:val="28"/>
          <w:highlight w:val="none"/>
          <w:u w:val="none"/>
          <w:lang w:val="en-US" w:eastAsia="zh-CN"/>
        </w:rPr>
      </w:r>
      <w:r/>
    </w:p>
    <w:p>
      <w:pPr>
        <w:pStyle w:val="938"/>
        <w:rPr>
          <w:color w:val="000000"/>
          <w:highlight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十三、关于符合本国产品标准的声明函（如有）</w:t>
      </w:r>
      <w:r>
        <w:rPr>
          <w:color w:val="000000"/>
          <w:highlight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953"/>
        <w:rPr>
          <w:rFonts w:ascii="宋体" w:hAnsi="宋体"/>
          <w:color w:val="000000"/>
          <w:sz w:val="24"/>
          <w:highlight w:val="none"/>
        </w:rPr>
      </w:pPr>
      <w:r>
        <w:rPr>
          <w:rFonts w:ascii="宋体" w:hAnsi="宋体"/>
          <w:color w:val="000000"/>
          <w:sz w:val="24"/>
          <w:highlight w:val="none"/>
        </w:rPr>
      </w:r>
      <w:r/>
    </w:p>
    <w:p>
      <w:pPr>
        <w:pStyle w:val="869"/>
        <w:ind w:firstLine="480"/>
        <w:spacing w:line="440" w:lineRule="exact"/>
        <w:rPr>
          <w:rFonts w:ascii="宋体" w:hAnsi="宋体"/>
          <w:color w:val="000000"/>
          <w:sz w:val="24"/>
          <w:highlight w:val="none"/>
        </w:rPr>
      </w:pPr>
      <w:r>
        <w:rPr>
          <w:rFonts w:ascii="宋体" w:hAnsi="宋体"/>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bookmarkEnd w:id="198"/>
      <w:r/>
      <w:bookmarkEnd w:id="199"/>
      <w:r/>
      <w:bookmarkEnd w:id="200"/>
      <w:r/>
      <w:bookmarkStart w:id="201" w:name="_Toc120614284"/>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69"/>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90"/>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92"/>
        <w:rPr>
          <w:rFonts w:hint="eastAsia" w:ascii="宋体" w:hAnsi="宋体"/>
          <w:b/>
          <w:bCs/>
          <w:color w:val="000000"/>
          <w:sz w:val="21"/>
          <w:szCs w:val="21"/>
          <w:highlight w:val="none"/>
          <w:lang w:eastAsia="zh-CN"/>
        </w:rPr>
      </w:pPr>
      <w:r>
        <w:rPr>
          <w:rFonts w:hint="eastAsia" w:ascii="宋体" w:hAnsi="宋体"/>
          <w:b/>
          <w:bCs/>
          <w:color w:val="000000"/>
          <w:sz w:val="21"/>
          <w:szCs w:val="21"/>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938"/>
        <w:rPr>
          <w:rFonts w:hint="eastAsia"/>
          <w:color w:val="000000"/>
          <w:highlight w:val="none"/>
          <w:lang w:eastAsia="zh-CN"/>
        </w:rPr>
      </w:pPr>
      <w:r>
        <w:rPr>
          <w:rFonts w:hint="eastAsia"/>
          <w:color w:val="000000"/>
          <w:highlight w:val="none"/>
          <w:lang w:eastAsia="zh-CN"/>
        </w:rPr>
      </w:r>
      <w:r/>
    </w:p>
    <w:p>
      <w:pPr>
        <w:pStyle w:val="869"/>
        <w:rPr>
          <w:rFonts w:hint="eastAsia"/>
          <w:color w:val="000000"/>
          <w:highlight w:val="none"/>
          <w:lang w:eastAsia="zh-CN"/>
        </w:rPr>
      </w:pPr>
      <w:r>
        <w:rPr>
          <w:rFonts w:hint="eastAsia"/>
          <w:color w:val="000000"/>
          <w:highlight w:val="none"/>
          <w:lang w:eastAsia="zh-CN"/>
        </w:rPr>
      </w:r>
      <w:r/>
    </w:p>
    <w:p>
      <w:pPr>
        <w:pStyle w:val="869"/>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2"/>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2"/>
        <w:rPr>
          <w:rFonts w:hint="eastAsia"/>
          <w:color w:val="000000"/>
          <w:highlight w:val="none"/>
        </w:rPr>
      </w:pPr>
      <w:r>
        <w:rPr>
          <w:rFonts w:hint="eastAsia"/>
          <w:color w:val="000000"/>
          <w:highlight w:val="none"/>
        </w:rPr>
      </w:r>
      <w:r/>
    </w:p>
    <w:p>
      <w:pPr>
        <w:pStyle w:val="869"/>
        <w:rPr>
          <w:rFonts w:hint="eastAsia"/>
          <w:color w:val="000000"/>
          <w:highlight w:val="none"/>
        </w:rPr>
      </w:pPr>
      <w:r>
        <w:rPr>
          <w:rFonts w:hint="eastAsia"/>
          <w:color w:val="000000"/>
          <w:highlight w:val="non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69"/>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69"/>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2"/>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______年____月____日起生效，特此声明。</w:t>
      </w:r>
      <w:r>
        <w:rPr>
          <w:rFonts w:hint="eastAsia"/>
          <w:color w:val="000000"/>
          <w:sz w:val="24"/>
          <w:szCs w:val="24"/>
          <w:highlight w:val="non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2"/>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2"/>
        <w:ind w:firstLine="468"/>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2"/>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2"/>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2" w:name="_Hlt26671380"/>
      <w:r/>
      <w:bookmarkEnd w:id="202"/>
      <w:r/>
      <w:bookmarkStart w:id="203" w:name="_格式3__银行出具的资信证明"/>
      <w:r/>
      <w:bookmarkEnd w:id="203"/>
      <w:r/>
      <w:bookmarkStart w:id="204" w:name="_Hlt26955070"/>
      <w:r/>
      <w:bookmarkEnd w:id="204"/>
      <w:r>
        <w:rPr>
          <w:rFonts w:hint="eastAsia"/>
          <w:color w:val="000000"/>
          <w:sz w:val="24"/>
          <w:szCs w:val="24"/>
          <w:highlight w:val="none"/>
        </w:rPr>
      </w:r>
      <w:r/>
    </w:p>
    <w:p>
      <w:pPr>
        <w:pStyle w:val="883"/>
        <w:rPr>
          <w:rFonts w:hint="eastAsia"/>
          <w:i/>
          <w:color w:val="000000"/>
          <w:sz w:val="24"/>
          <w:szCs w:val="24"/>
          <w:highlight w:val="none"/>
          <w:u w:val="single"/>
        </w:rPr>
      </w:pPr>
      <w:r>
        <w:rPr>
          <w:rFonts w:hint="eastAsia"/>
          <w:i/>
          <w:color w:val="000000"/>
          <w:sz w:val="24"/>
          <w:szCs w:val="24"/>
          <w:highlight w:val="none"/>
          <w:u w:val="single"/>
        </w:rPr>
      </w:r>
      <w:r/>
    </w:p>
    <w:p>
      <w:pPr>
        <w:pStyle w:val="883"/>
        <w:rPr>
          <w:rFonts w:hint="eastAsia"/>
          <w:i/>
          <w:color w:val="000000"/>
          <w:sz w:val="24"/>
          <w:szCs w:val="24"/>
          <w:highlight w:val="none"/>
          <w:u w:val="single"/>
        </w:rPr>
      </w:pPr>
      <w:r>
        <w:rPr>
          <w:rFonts w:hint="eastAsia"/>
          <w:i/>
          <w:color w:val="000000"/>
          <w:sz w:val="24"/>
          <w:szCs w:val="24"/>
          <w:highlight w:val="none"/>
          <w:u w:val="single"/>
        </w:rPr>
      </w:r>
      <w:r/>
    </w:p>
    <w:p>
      <w:pPr>
        <w:pStyle w:val="883"/>
        <w:rPr>
          <w:rFonts w:hint="eastAsia"/>
          <w:i/>
          <w:color w:val="000000"/>
          <w:sz w:val="24"/>
          <w:szCs w:val="24"/>
          <w:highlight w:val="none"/>
          <w:u w:val="single"/>
        </w:rPr>
      </w:pPr>
      <w:r>
        <w:rPr>
          <w:rFonts w:hint="eastAsia"/>
          <w:i/>
          <w:color w:val="000000"/>
          <w:sz w:val="24"/>
          <w:szCs w:val="24"/>
          <w:highlight w:val="none"/>
          <w:u w:val="single"/>
        </w:rPr>
      </w:r>
      <w:r/>
    </w:p>
    <w:p>
      <w:pPr>
        <w:pStyle w:val="883"/>
        <w:ind w:firstLine="0"/>
        <w:rPr>
          <w:rFonts w:hint="eastAsia"/>
          <w:color w:val="000000"/>
          <w:highlight w:val="none"/>
        </w:rPr>
      </w:pPr>
      <w:r>
        <w:rPr>
          <w:rFonts w:hint="eastAsia"/>
          <w:color w:val="000000"/>
          <w:highlight w:val="none"/>
        </w:rPr>
      </w:r>
      <w:r/>
    </w:p>
    <w:p>
      <w:pPr>
        <w:pStyle w:val="869"/>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69"/>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3"/>
        <w:rPr>
          <w:rFonts w:hint="eastAsia" w:ascii="宋体" w:hAnsi="宋体"/>
          <w:bCs/>
          <w:color w:val="000000"/>
          <w:sz w:val="24"/>
          <w:highlight w:val="none"/>
        </w:rPr>
      </w:pPr>
      <w:r>
        <w:rPr>
          <w:rFonts w:hint="eastAsia" w:ascii="宋体" w:hAnsi="宋体"/>
          <w:bCs/>
          <w:color w:val="000000"/>
          <w:sz w:val="24"/>
          <w:highlight w:val="none"/>
        </w:rPr>
      </w:r>
      <w:r/>
    </w:p>
    <w:p>
      <w:pPr>
        <w:pStyle w:val="953"/>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4"/>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4"/>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964"/>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869"/>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64"/>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4"/>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4"/>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4"/>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4"/>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964"/>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64"/>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69"/>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69"/>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64"/>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938"/>
        <w:rPr>
          <w:rFonts w:hint="eastAsia"/>
          <w:color w:val="000000"/>
          <w:highlight w:val="none"/>
        </w:rPr>
      </w:pPr>
      <w:r>
        <w:rPr>
          <w:rFonts w:hint="eastAsia"/>
          <w:color w:val="000000"/>
          <w:highlight w:val="none"/>
        </w:rPr>
      </w:r>
      <w:r/>
    </w:p>
    <w:p>
      <w:pPr>
        <w:pStyle w:val="869"/>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869"/>
        <w:rPr>
          <w:rFonts w:hint="eastAsia"/>
          <w:color w:val="000000"/>
          <w:highlight w:val="none"/>
          <w:lang w:val="en-US" w:eastAsia="zh-CN"/>
        </w:rPr>
      </w:pPr>
      <w:r>
        <w:rPr>
          <w:rFonts w:hint="eastAsia"/>
          <w:color w:val="000000"/>
          <w:highlight w:val="none"/>
          <w:lang w:val="en-US" w:eastAsia="zh-CN"/>
        </w:rPr>
      </w:r>
      <w:r/>
    </w:p>
    <w:p>
      <w:pPr>
        <w:pStyle w:val="938"/>
        <w:rPr>
          <w:rFonts w:hint="eastAsia"/>
          <w:color w:val="000000"/>
          <w:highlight w:val="none"/>
          <w:lang w:val="en-US" w:eastAsia="zh-CN"/>
        </w:rPr>
      </w:pPr>
      <w:r>
        <w:rPr>
          <w:rFonts w:hint="eastAsia"/>
          <w:color w:val="000000"/>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47"/>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六、投标分项报价表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tbl>
      <w:tblPr>
        <w:tblW w:w="954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151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1845"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6</w:t>
            </w:r>
            <w:r>
              <w:rPr>
                <w:rFonts w:ascii="宋体" w:hAnsi="宋体" w:eastAsia="宋体"/>
                <w:color w:val="000000"/>
                <w:sz w:val="24"/>
                <w:szCs w:val="24"/>
                <w:highlight w:val="none"/>
                <w:lang w:val="en-US" w:eastAsia="zh-CN"/>
              </w:rPr>
            </w:r>
            <w:r/>
          </w:p>
        </w:tc>
      </w:tr>
      <w:tr>
        <w:trPr>
          <w:cantSplit/>
          <w:trHeight w:val="445"/>
        </w:trPr>
        <w:tc>
          <w:tcPr>
            <w:tcW w:w="581" w:type="dxa"/>
            <w:vAlign w:val="center"/>
            <w:vMerge w:val="continue"/>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交付期（天）</w:t>
            </w:r>
            <w:r>
              <w:rPr>
                <w:rFonts w:hint="eastAsia" w:ascii="宋体" w:hAnsi="宋体" w:eastAsia="宋体"/>
                <w:color w:val="000000"/>
                <w:sz w:val="24"/>
                <w:szCs w:val="24"/>
                <w:highlight w:val="none"/>
                <w:lang w:eastAsia="zh-CN"/>
              </w:rPr>
            </w:r>
            <w:r/>
          </w:p>
        </w:tc>
        <w:tc>
          <w:tcPr>
            <w:tcW w:w="990"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1845" w:type="dxa"/>
            <w:vAlign w:val="center"/>
            <w:textDirection w:val="lrTb"/>
            <w:noWrap w:val="false"/>
          </w:tcPr>
          <w:p>
            <w:pPr>
              <w:pStyle w:val="869"/>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总价（元）</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0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51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8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017" w:type="dxa"/>
            <w:vAlign w:val="center"/>
            <w:textDirection w:val="lrTb"/>
            <w:noWrap w:val="false"/>
          </w:tcPr>
          <w:p>
            <w:pPr>
              <w:pStyle w:val="869"/>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5"/>
            <w:tcW w:w="6945" w:type="dxa"/>
            <w:vAlign w:val="center"/>
            <w:textDirection w:val="lrTb"/>
            <w:noWrap w:val="false"/>
          </w:tcPr>
          <w:p>
            <w:pPr>
              <w:pStyle w:val="869"/>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w:t>
      </w:r>
      <w:r>
        <w:rPr>
          <w:rFonts w:hint="eastAsia" w:ascii="宋体" w:hAnsi="宋体" w:eastAsia="宋体" w:cs="宋体"/>
          <w:color w:val="000000"/>
          <w:sz w:val="24"/>
          <w:szCs w:val="24"/>
          <w:highlight w:val="none"/>
          <w:lang w:val="en-US" w:eastAsia="zh-CN"/>
        </w:rPr>
        <w:t xml:space="preserve">为完成整个项目所产生的所有费用</w:t>
      </w:r>
      <w:r>
        <w:rPr>
          <w:rFonts w:hint="eastAsia" w:ascii="宋体" w:hAnsi="宋体" w:eastAsia="宋体" w:cs="宋体"/>
          <w:color w:val="000000"/>
          <w:sz w:val="24"/>
          <w:szCs w:val="24"/>
          <w:highlight w:val="none"/>
          <w:lang w:val="en-US" w:eastAsia="zh-CN"/>
        </w:rPr>
        <w:t xml:space="preserve">，招标文件另有规定的除外。</w:t>
      </w:r>
      <w:r>
        <w:rPr>
          <w:rFonts w:hint="eastAsia" w:ascii="宋体" w:hAnsi="宋体" w:eastAsia="宋体" w:cs="宋体"/>
          <w:color w:val="000000"/>
          <w:sz w:val="24"/>
          <w:szCs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3.供应商所报产品须与“第四章-项目清单”中的产品一一对应，如有缺项、漏项或者超出单价上限的，视为无效投标。“项目清单”中分项仅为一项的，此表无需提供。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869"/>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947"/>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color w:val="000000"/>
          <w:highlight w:val="none"/>
          <w:lang w:val="en-US" w:eastAsia="zh-CN"/>
        </w:rPr>
      </w:pPr>
      <w:r>
        <w:rPr>
          <w:rFonts w:hint="eastAsia"/>
          <w:color w:val="000000"/>
          <w:highlight w:val="none"/>
          <w:lang w:val="en-US" w:eastAsia="zh-CN"/>
        </w:rPr>
      </w:r>
      <w:r/>
    </w:p>
    <w:p>
      <w:pPr>
        <w:pStyle w:val="869"/>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69"/>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69"/>
        <w:rPr>
          <w:rFonts w:hint="eastAsia" w:ascii="黑体" w:hAnsi="黑体" w:eastAsia="黑体" w:cs="Times New Roman"/>
          <w:iCs/>
          <w:color w:val="000000"/>
          <w:sz w:val="32"/>
          <w:szCs w:val="32"/>
          <w:highlight w:val="none"/>
          <w:lang w:eastAsia="zh-CN"/>
        </w:rPr>
      </w:pPr>
      <w:r>
        <w:rPr>
          <w:rFonts w:hint="eastAsia" w:ascii="黑体" w:hAnsi="黑体" w:eastAsia="黑体" w:cs="Times New Roman"/>
          <w:iCs/>
          <w:color w:val="000000"/>
          <w:sz w:val="32"/>
          <w:szCs w:val="32"/>
          <w:highlight w:val="none"/>
          <w:lang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t xml:space="preserve">七</w:t>
      </w:r>
      <w:bookmarkEnd w:id="42"/>
      <w:r/>
      <w:bookmarkEnd w:id="43"/>
      <w:r/>
      <w:bookmarkEnd w:id="201"/>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color w:val="000000"/>
                <w:highlight w:val="none"/>
              </w:rPr>
            </w:pPr>
            <w:r>
              <w:rPr>
                <w:color w:val="000000"/>
                <w:highlight w:val="none"/>
              </w:rPr>
            </w:r>
            <w:r/>
          </w:p>
          <w:p>
            <w:pPr>
              <w:pStyle w:val="938"/>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bookmarkStart w:id="205" w:name="_Hlt26955054"/>
      <w:r/>
      <w:bookmarkEnd w:id="205"/>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69"/>
              <w:jc w:val="center"/>
              <w:rPr>
                <w:rFonts w:hint="eastAsia" w:ascii="宋体" w:hAnsi="宋体"/>
                <w:color w:val="000000"/>
                <w:sz w:val="24"/>
                <w:szCs w:val="24"/>
                <w:highlight w:val="none"/>
              </w:rPr>
            </w:pPr>
            <w:r/>
            <w:bookmarkStart w:id="206" w:name="_Hlt26671372"/>
            <w:r/>
            <w:bookmarkEnd w:id="206"/>
            <w:r/>
            <w:bookmarkStart w:id="207" w:name="_Hlt26955064"/>
            <w:r/>
            <w:bookmarkEnd w:id="207"/>
            <w:r/>
            <w:bookmarkStart w:id="208" w:name="_Hlt26782999"/>
            <w:r/>
            <w:bookmarkEnd w:id="208"/>
            <w:r/>
            <w:bookmarkStart w:id="209" w:name="_Hlt24879081"/>
            <w:r/>
            <w:bookmarkEnd w:id="209"/>
            <w:r/>
            <w:bookmarkStart w:id="210" w:name="_Hlt26955056"/>
            <w:r/>
            <w:bookmarkEnd w:id="210"/>
            <w:r/>
            <w:bookmarkStart w:id="211" w:name="_Hlt26671343"/>
            <w:r/>
            <w:bookmarkEnd w:id="211"/>
            <w:r/>
            <w:bookmarkStart w:id="212" w:name="_Hlt26580838"/>
            <w:r/>
            <w:bookmarkEnd w:id="212"/>
            <w:r/>
            <w:bookmarkStart w:id="213" w:name="_Hlt26609391"/>
            <w:r/>
            <w:bookmarkEnd w:id="213"/>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9"/>
              <w:jc w:val="center"/>
              <w:rPr>
                <w:color w:val="000000"/>
                <w:highlight w:val="none"/>
              </w:rPr>
            </w:pPr>
            <w:r>
              <w:rPr>
                <w:color w:val="000000"/>
                <w:highlight w:val="none"/>
              </w:rPr>
            </w:r>
            <w:r/>
          </w:p>
          <w:p>
            <w:pPr>
              <w:pStyle w:val="938"/>
              <w:rPr>
                <w:rFonts w:hint="eastAsia"/>
                <w:color w:val="000000"/>
                <w:highlight w:val="none"/>
              </w:rPr>
            </w:pPr>
            <w:r>
              <w:rPr>
                <w:rFonts w:hint="eastAsia"/>
                <w:color w:val="000000"/>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color w:val="000000"/>
          <w:highlight w:val="none"/>
        </w:rPr>
      </w:pPr>
      <w:r>
        <w:rPr>
          <w:color w:val="000000"/>
          <w:highlight w:val="non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7"/>
        <w:rPr>
          <w:rFonts w:hint="eastAsia"/>
          <w:color w:val="000000"/>
          <w:highlight w:val="none"/>
        </w:rPr>
      </w:pPr>
      <w:r>
        <w:rPr>
          <w:rFonts w:hint="eastAsia"/>
          <w:color w:val="000000"/>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7"/>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清单中列示的所有服务，投标人须在声明函中逐项列示并明确承接企业的类型，如有缺失将按“不提供声明函”处理。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w:t>
      </w:r>
      <w:r>
        <w:rPr>
          <w:rFonts w:hint="eastAsia" w:ascii="宋体" w:hAnsi="宋体" w:eastAsia="宋体" w:cs="Times New Roman"/>
          <w:color w:val="000000"/>
          <w:sz w:val="24"/>
          <w:szCs w:val="24"/>
          <w:highlight w:val="none"/>
          <w:lang w:val="en-US" w:eastAsia="zh-CN"/>
        </w:rPr>
        <w:t xml:space="preserve">中标</w:t>
      </w:r>
      <w:r>
        <w:rPr>
          <w:rFonts w:hint="eastAsia" w:ascii="宋体" w:hAnsi="宋体" w:eastAsia="宋体" w:cs="Times New Roman"/>
          <w:color w:val="000000"/>
          <w:sz w:val="24"/>
          <w:szCs w:val="24"/>
          <w:highlight w:val="none"/>
          <w:lang w:eastAsia="zh-CN"/>
        </w:rPr>
        <w:t xml:space="preserve">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4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w:t>
      </w:r>
      <w:r>
        <w:rPr>
          <w:rFonts w:hint="eastAsia" w:ascii="宋体" w:hAnsi="宋体"/>
          <w:color w:val="000000"/>
          <w:sz w:val="24"/>
          <w:highlight w:val="none"/>
          <w:lang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单位的，此声明函将随中标结果同时公告，接受社会监督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69"/>
        <w:ind w:firstLine="480"/>
        <w:spacing w:line="480" w:lineRule="exact"/>
        <w:rPr>
          <w:rFonts w:ascii="宋体" w:hAnsi="宋体"/>
          <w:color w:val="000000"/>
          <w:sz w:val="24"/>
          <w:highlight w:val="none"/>
        </w:rPr>
      </w:pPr>
      <w:r>
        <w:rPr>
          <w:rFonts w:ascii="宋体" w:hAnsi="宋体"/>
          <w:color w:val="000000"/>
          <w:sz w:val="24"/>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69"/>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69"/>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69"/>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69"/>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69"/>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69"/>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38"/>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69"/>
        <w:rPr>
          <w:rFonts w:hint="eastAsia"/>
          <w:color w:val="000000"/>
          <w:highlight w:val="none"/>
        </w:rPr>
      </w:pPr>
      <w:r>
        <w:rPr>
          <w:rFonts w:hint="eastAsia"/>
          <w:color w:val="000000"/>
          <w:highlight w:val="none"/>
        </w:rPr>
      </w:r>
      <w:r/>
    </w:p>
    <w:p>
      <w:pPr>
        <w:pStyle w:val="869"/>
        <w:ind w:firstLine="645"/>
        <w:spacing w:line="560" w:lineRule="exact"/>
        <w:rPr>
          <w:rFonts w:ascii="宋体" w:hAnsi="宋体"/>
          <w:color w:val="000000"/>
          <w:sz w:val="24"/>
          <w:highlight w:val="none"/>
        </w:rPr>
      </w:pPr>
      <w:r>
        <w:rPr>
          <w:rFonts w:ascii="宋体" w:hAnsi="宋体"/>
          <w:color w:val="000000"/>
          <w:sz w:val="24"/>
          <w:highlight w:val="none"/>
        </w:rPr>
      </w:r>
      <w:r/>
    </w:p>
    <w:p>
      <w:pPr>
        <w:pStyle w:val="869"/>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47"/>
        <w:rPr>
          <w:rFonts w:hint="eastAsia" w:ascii="宋体" w:hAnsi="宋体"/>
          <w:color w:val="000000"/>
          <w:sz w:val="24"/>
          <w:highlight w:val="none"/>
        </w:rPr>
      </w:pPr>
      <w:r>
        <w:rPr>
          <w:rFonts w:hint="eastAsia" w:ascii="宋体" w:hAnsi="宋体"/>
          <w:color w:val="000000"/>
          <w:sz w:val="24"/>
          <w:highlight w:val="none"/>
        </w:rPr>
      </w:r>
      <w:r/>
    </w:p>
    <w:p>
      <w:pPr>
        <w:pStyle w:val="869"/>
        <w:rPr>
          <w:rFonts w:hint="eastAsia" w:ascii="宋体" w:hAnsi="宋体"/>
          <w:color w:val="000000"/>
          <w:sz w:val="24"/>
          <w:highlight w:val="none"/>
        </w:rPr>
      </w:pPr>
      <w:r>
        <w:rPr>
          <w:rFonts w:hint="eastAsia" w:ascii="宋体" w:hAnsi="宋体"/>
          <w:color w:val="000000"/>
          <w:sz w:val="24"/>
          <w:highlight w:val="none"/>
        </w:rPr>
      </w:r>
      <w:r/>
    </w:p>
    <w:p>
      <w:pPr>
        <w:pStyle w:val="947"/>
        <w:rPr>
          <w:rFonts w:hint="eastAsia"/>
          <w:color w:val="000000"/>
          <w:highlight w:val="none"/>
        </w:rPr>
      </w:pPr>
      <w:r>
        <w:rPr>
          <w:rFonts w:hint="eastAsia"/>
          <w:color w:val="000000"/>
          <w:highlight w:val="none"/>
        </w:rPr>
      </w:r>
      <w:r/>
    </w:p>
    <w:p>
      <w:pPr>
        <w:pStyle w:val="869"/>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十二、分包承诺书</w:t>
      </w:r>
      <w:r>
        <w:rPr>
          <w:rFonts w:hint="eastAsia" w:ascii="黑体" w:hAnsi="黑体" w:eastAsia="黑体" w:cs="Times New Roman"/>
          <w:i w:val="0"/>
          <w:iCs/>
          <w:color w:val="000000"/>
          <w:sz w:val="32"/>
          <w:szCs w:val="32"/>
          <w:highlight w:val="none"/>
          <w:u w:val="none"/>
          <w:lang w:val="en-US" w:eastAsia="zh-CN"/>
        </w:rPr>
      </w:r>
      <w:r/>
    </w:p>
    <w:p>
      <w:pPr>
        <w:pStyle w:val="869"/>
        <w:rPr>
          <w:rFonts w:hint="eastAsia"/>
          <w:color w:val="000000"/>
          <w:highlight w:val="none"/>
        </w:rPr>
      </w:pPr>
      <w:r>
        <w:rPr>
          <w:rFonts w:hint="eastAsia"/>
          <w:color w:val="000000"/>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zh-CN" w:eastAsia="zh-CN"/>
        </w:rPr>
      </w:pPr>
      <w:r>
        <w:rPr>
          <w:rFonts w:hint="eastAsia" w:ascii="方正小标宋简体" w:hAnsi="方正小标宋简体" w:eastAsia="方正小标宋简体" w:cs="方正小标宋简体"/>
          <w:b w:val="0"/>
          <w:bCs w:val="0"/>
          <w:color w:val="000000"/>
          <w:sz w:val="32"/>
          <w:szCs w:val="32"/>
          <w:highlight w:val="none"/>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highlight w:val="none"/>
          <w:lang w:val="zh-CN" w:eastAsia="zh-CN"/>
        </w:rPr>
      </w:r>
      <w:r/>
    </w:p>
    <w:p>
      <w:pPr>
        <w:pStyle w:val="869"/>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highlight w:val="none"/>
          <w:lang w:eastAsia="zh-CN"/>
        </w:rPr>
      </w:pPr>
      <w:r>
        <w:rPr>
          <w:rFonts w:hint="eastAsia" w:ascii="方正仿宋_GBK" w:hAnsi="方正仿宋_GBK" w:eastAsia="方正仿宋_GBK" w:cs="方正仿宋_GBK"/>
          <w:color w:val="000000"/>
          <w:sz w:val="24"/>
          <w:szCs w:val="24"/>
          <w:highlight w:val="none"/>
          <w:lang w:eastAsia="zh-CN"/>
        </w:rPr>
      </w:r>
      <w:r/>
    </w:p>
    <w:p>
      <w:pPr>
        <w:pStyle w:val="869"/>
        <w:ind w:firstLine="0"/>
        <w:keepLines w:val="0"/>
        <w:keepNext w:val="0"/>
        <w:pageBreakBefore w:val="0"/>
        <w:spacing w:line="48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采购人名称</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（供应商名称）郑重承诺：</w:t>
      </w:r>
      <w:r>
        <w:rPr>
          <w:rFonts w:hint="eastAsia" w:ascii="宋体" w:hAnsi="宋体" w:eastAsia="宋体" w:cs="宋体"/>
          <w:color w:val="000000"/>
          <w:sz w:val="24"/>
          <w:szCs w:val="24"/>
          <w:highlight w:val="none"/>
        </w:rPr>
      </w:r>
      <w:r/>
    </w:p>
    <w:p>
      <w:pPr>
        <w:pStyle w:val="869"/>
        <w:ind w:firstLine="480"/>
        <w:jc w:val="left"/>
        <w:keepLines w:val="0"/>
        <w:keepNext w:val="0"/>
        <w:pageBreakBefore w:val="0"/>
        <w:spacing w:line="48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如我公司中标（成交）</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（项目名称）项目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拟将项目中的</w:t>
      </w:r>
      <w:r>
        <w:rPr>
          <w:rFonts w:hint="eastAsia" w:ascii="宋体" w:hAnsi="宋体" w:eastAsia="宋体" w:cs="宋体"/>
          <w:color w:val="000000"/>
          <w:sz w:val="24"/>
          <w:szCs w:val="24"/>
          <w:highlight w:val="none"/>
          <w:lang w:val="en-US" w:eastAsia="zh-CN"/>
        </w:rPr>
      </w:r>
      <w:r/>
    </w:p>
    <w:p>
      <w:pPr>
        <w:pStyle w:val="869"/>
        <w:jc w:val="lef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建设内容，分包给具有相应资质</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供应商实施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并在签订合同时提供分包意向协议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9"/>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9"/>
        <w:ind w:right="180" w:firstLine="360"/>
        <w:jc w:val="right"/>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rPr>
      </w:r>
      <w:r/>
    </w:p>
    <w:p>
      <w:pPr>
        <w:pStyle w:val="869"/>
        <w:jc w:val="center"/>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869"/>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38"/>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38"/>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38"/>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38"/>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869"/>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38"/>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r>
      <w:r/>
    </w:p>
    <w:p>
      <w:pPr>
        <w:pStyle w:val="932"/>
        <w:ind w:left="0" w:right="0" w:firstLine="420"/>
        <w:jc w:val="center"/>
        <w:keepLines w:val="0"/>
        <w:keepNext w:val="0"/>
        <w:spacing w:before="24" w:beforeAutospacing="0" w:after="24" w:afterAutospacing="0" w:line="360" w:lineRule="auto"/>
        <w:shd w:val="clear" w:color="auto" w:fill="ffffff"/>
        <w:widowControl/>
        <w:rPr>
          <w:rFonts w:hint="eastAsia" w:ascii="方正小标宋简体" w:hAnsi="方正小标宋简体" w:eastAsia="方正小标宋简体" w:cs="方正小标宋简体"/>
          <w:b w:val="0"/>
          <w:bCs w:val="0"/>
          <w:color w:val="000000"/>
          <w:sz w:val="32"/>
          <w:szCs w:val="32"/>
          <w:highlight w:val="none"/>
        </w:rPr>
        <w:pBdr>
          <w:top w:val="none" w:color="000000" w:sz="0" w:space="0"/>
          <w:left w:val="none" w:color="000000" w:sz="0" w:space="0"/>
          <w:bottom w:val="none" w:color="000000" w:sz="0" w:space="0"/>
          <w:right w:val="none" w:color="000000" w:sz="0" w:space="0"/>
        </w:pBdr>
        <w:suppressLineNumbers w:val="0"/>
      </w:pPr>
      <w:r>
        <w:rPr>
          <w:rFonts w:hint="eastAsia"/>
          <w:color w:val="000000"/>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３５</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rFonts w:ascii="Times New Roman" w:hAnsi="Times New Roman"/>
      <w:sz w:val="21"/>
      <w:szCs w:val="21"/>
      <w:lang w:val="en-US" w:eastAsia="zh-CN" w:bidi="ar-SA"/>
    </w:rPr>
  </w:style>
  <w:style w:type="paragraph" w:styleId="870">
    <w:name w:val="标题 1"/>
    <w:basedOn w:val="869"/>
    <w:next w:val="869"/>
    <w:link w:val="881"/>
    <w:qFormat/>
    <w:pPr>
      <w:jc w:val="center"/>
      <w:keepNext/>
      <w:outlineLvl w:val="0"/>
    </w:pPr>
    <w:rPr>
      <w:rFonts w:ascii="楷体_GB2312" w:eastAsia="楷体_GB2312"/>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style>
  <w:style w:type="character" w:styleId="884">
    <w:name w:val="正文缩进 Char"/>
    <w:next w:val="884"/>
    <w:link w:val="883"/>
    <w:rPr>
      <w:rFonts w:ascii="Times New Roman" w:hAnsi="Times New Roman" w:eastAsia="宋体" w:cs="Times New Roman"/>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style>
  <w:style w:type="paragraph" w:styleId="893">
    <w:name w:val="目录 7"/>
    <w:basedOn w:val="869"/>
    <w:next w:val="869"/>
    <w:link w:val="869"/>
    <w:semiHidden/>
    <w:pPr>
      <w:ind w:left="1260"/>
      <w:jc w:val="left"/>
    </w:pPr>
  </w:style>
  <w:style w:type="paragraph" w:styleId="894">
    <w:name w:val="文档结构图"/>
    <w:basedOn w:val="869"/>
    <w:next w:val="894"/>
    <w:link w:val="895"/>
    <w:semiHidden/>
    <w:pPr>
      <w:shd w:val="clear" w:color="auto" w:fill="000080"/>
    </w:p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semiHidden/>
    <w:pPr>
      <w:jc w:val="left"/>
    </w:pPr>
  </w:style>
  <w:style w:type="character" w:styleId="897">
    <w:name w:val="批注文字 Char"/>
    <w:next w:val="897"/>
    <w:link w:val="896"/>
    <w:semiHidden/>
    <w:rPr>
      <w:rFonts w:ascii="Times New Roman" w:hAnsi="Times New Roman" w:eastAsia="宋体" w:cs="Times New Roman"/>
      <w:szCs w:val="21"/>
    </w:rPr>
  </w:style>
  <w:style w:type="paragraph" w:styleId="898">
    <w:name w:val="正文文本 3"/>
    <w:basedOn w:val="869"/>
    <w:next w:val="898"/>
    <w:link w:val="899"/>
    <w:rPr>
      <w:rFonts w:ascii="仿宋_GB2312" w:hAnsi="Arial" w:eastAsia="仿宋_GB2312"/>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pPr>
      <w:ind w:firstLine="645"/>
    </w:pPr>
    <w:rPr>
      <w:rFonts w:ascii="楷体_GB2312" w:eastAsia="楷体_GB2312"/>
      <w:sz w:val="32"/>
      <w:szCs w:val="32"/>
    </w:rPr>
  </w:style>
  <w:style w:type="character" w:styleId="903">
    <w:name w:val="正文文本缩进 Char"/>
    <w:next w:val="903"/>
    <w:link w:val="902"/>
    <w:rPr>
      <w:rFonts w:ascii="楷体_GB2312" w:hAnsi="Times New Roman" w:eastAsia="楷体_GB2312" w:cs="Times New Roman"/>
      <w:sz w:val="32"/>
      <w:szCs w:val="32"/>
    </w:rPr>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style>
  <w:style w:type="paragraph" w:styleId="906">
    <w:name w:val="目录 5"/>
    <w:basedOn w:val="869"/>
    <w:next w:val="869"/>
    <w:link w:val="869"/>
    <w:semiHidden/>
    <w:pPr>
      <w:ind w:left="840"/>
      <w:jc w:val="left"/>
    </w:pPr>
  </w:style>
  <w:style w:type="paragraph" w:styleId="907">
    <w:name w:val="目录 3"/>
    <w:basedOn w:val="869"/>
    <w:next w:val="869"/>
    <w:link w:val="869"/>
    <w:semiHidden/>
    <w:pPr>
      <w:ind w:left="420"/>
      <w:jc w:val="left"/>
    </w:pPr>
    <w:rPr>
      <w:i/>
      <w:iCs/>
      <w:szCs w:val="24"/>
    </w:rPr>
  </w:style>
  <w:style w:type="paragraph" w:styleId="908">
    <w:name w:val="纯文本"/>
    <w:basedOn w:val="869"/>
    <w:next w:val="908"/>
    <w:link w:val="909"/>
    <w:rPr>
      <w:rFonts w:ascii="宋体" w:hAnsi="Courier New" w:cs="Courier New"/>
    </w:rPr>
  </w:style>
  <w:style w:type="character" w:styleId="909">
    <w:name w:val="纯文本 Char"/>
    <w:next w:val="909"/>
    <w:link w:val="908"/>
    <w:rPr>
      <w:rFonts w:ascii="宋体" w:hAnsi="Courier New" w:eastAsia="宋体" w:cs="Courier New"/>
      <w:szCs w:val="21"/>
    </w:rPr>
  </w:style>
  <w:style w:type="paragraph" w:styleId="910">
    <w:name w:val="目录 8"/>
    <w:basedOn w:val="869"/>
    <w:next w:val="869"/>
    <w:link w:val="869"/>
    <w:semiHidden/>
    <w:pPr>
      <w:ind w:left="1470"/>
      <w:jc w:val="left"/>
    </w:pPr>
  </w:style>
  <w:style w:type="paragraph" w:styleId="911">
    <w:name w:val="日期"/>
    <w:basedOn w:val="869"/>
    <w:next w:val="869"/>
    <w:link w:val="912"/>
    <w:rPr>
      <w:sz w:val="24"/>
      <w:szCs w:val="24"/>
    </w:rPr>
  </w:style>
  <w:style w:type="character" w:styleId="912">
    <w:name w:val="日期 Char"/>
    <w:next w:val="912"/>
    <w:link w:val="911"/>
    <w:rPr>
      <w:rFonts w:ascii="Times New Roman" w:hAnsi="Times New Roman" w:eastAsia="宋体" w:cs="Times New Roman"/>
      <w:sz w:val="24"/>
      <w:szCs w:val="24"/>
    </w:rPr>
  </w:style>
  <w:style w:type="paragraph" w:styleId="913">
    <w:name w:val="正文文本缩进 2"/>
    <w:basedOn w:val="869"/>
    <w:next w:val="913"/>
    <w:link w:val="914"/>
    <w:pPr>
      <w:ind w:left="630" w:firstLine="645"/>
    </w:pPr>
    <w:rPr>
      <w:rFonts w:ascii="Arial" w:hAnsi="Arial" w:eastAsia="仿宋_GB2312" w:cs="Arial"/>
      <w:sz w:val="32"/>
      <w:szCs w:val="32"/>
    </w:rPr>
  </w:style>
  <w:style w:type="character" w:styleId="914">
    <w:name w:val="正文文本缩进 2 Char"/>
    <w:next w:val="914"/>
    <w:link w:val="913"/>
    <w:rPr>
      <w:rFonts w:ascii="Arial" w:hAnsi="Arial" w:eastAsia="仿宋_GB2312" w:cs="Arial"/>
      <w:sz w:val="32"/>
      <w:szCs w:val="32"/>
    </w:rPr>
  </w:style>
  <w:style w:type="paragraph" w:styleId="915">
    <w:name w:val="批注框文本"/>
    <w:basedOn w:val="869"/>
    <w:next w:val="915"/>
    <w:link w:val="916"/>
    <w:semiHidden/>
    <w:rPr>
      <w:sz w:val="18"/>
      <w:szCs w:val="18"/>
    </w:rPr>
  </w:style>
  <w:style w:type="character" w:styleId="916">
    <w:name w:val="批注框文本 Char"/>
    <w:next w:val="916"/>
    <w:link w:val="915"/>
    <w:semiHidden/>
    <w:rPr>
      <w:rFonts w:ascii="Times New Roman" w:hAnsi="Times New Roman" w:eastAsia="宋体" w:cs="Times New Roman"/>
      <w:sz w:val="18"/>
      <w:szCs w:val="18"/>
    </w:rPr>
  </w:style>
  <w:style w:type="paragraph" w:styleId="917">
    <w:name w:val="页脚"/>
    <w:basedOn w:val="869"/>
    <w:next w:val="917"/>
    <w:link w:val="918"/>
    <w:pPr>
      <w:jc w:val="left"/>
      <w:tabs>
        <w:tab w:val="center" w:pos="4153" w:leader="none"/>
        <w:tab w:val="right" w:pos="8306" w:leader="none"/>
      </w:tabs>
    </w:pPr>
    <w:rPr>
      <w:sz w:val="18"/>
      <w:szCs w:val="18"/>
    </w:rPr>
  </w:style>
  <w:style w:type="character" w:styleId="918">
    <w:name w:val="页脚 Char"/>
    <w:next w:val="918"/>
    <w:link w:val="917"/>
    <w:rPr>
      <w:rFonts w:ascii="Times New Roman" w:hAnsi="Times New Roman" w:eastAsia="宋体" w:cs="Times New Roman"/>
      <w:sz w:val="18"/>
      <w:szCs w:val="18"/>
    </w:rPr>
  </w:style>
  <w:style w:type="paragraph" w:styleId="919">
    <w:name w:val="页眉"/>
    <w:basedOn w:val="869"/>
    <w:next w:val="919"/>
    <w:link w:val="920"/>
    <w:pPr>
      <w:jc w:val="center"/>
      <w:tabs>
        <w:tab w:val="center" w:pos="4153" w:leader="none"/>
        <w:tab w:val="right" w:pos="8306" w:leader="none"/>
      </w:tabs>
      <w:pBdr>
        <w:bottom w:val="single" w:color="000000" w:sz="6" w:space="1"/>
      </w:pBdr>
    </w:pPr>
    <w:rPr>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22">
    <w:name w:val="目录 4"/>
    <w:basedOn w:val="869"/>
    <w:next w:val="869"/>
    <w:link w:val="869"/>
    <w:semiHidden/>
    <w:pPr>
      <w:ind w:left="630"/>
      <w:jc w:val="left"/>
    </w:pPr>
  </w:style>
  <w:style w:type="paragraph" w:styleId="923">
    <w:name w:val="列表"/>
    <w:basedOn w:val="869"/>
    <w:next w:val="923"/>
    <w:link w:val="869"/>
    <w:pPr>
      <w:ind w:left="200" w:hanging="200"/>
    </w:pPr>
  </w:style>
  <w:style w:type="paragraph" w:styleId="924">
    <w:name w:val="目录 6"/>
    <w:basedOn w:val="869"/>
    <w:next w:val="869"/>
    <w:link w:val="869"/>
    <w:semiHidden/>
    <w:pPr>
      <w:ind w:left="1050"/>
      <w:jc w:val="left"/>
    </w:pPr>
  </w:style>
  <w:style w:type="paragraph" w:styleId="925">
    <w:name w:val="正文文本缩进 3"/>
    <w:basedOn w:val="869"/>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9"/>
    <w:next w:val="869"/>
    <w:link w:val="869"/>
    <w:semiHidden/>
    <w:pPr>
      <w:ind w:left="840" w:hanging="420"/>
    </w:pPr>
  </w:style>
  <w:style w:type="paragraph" w:styleId="928">
    <w:name w:val="目录 2"/>
    <w:basedOn w:val="869"/>
    <w:next w:val="869"/>
    <w:link w:val="869"/>
    <w:semiHidden/>
    <w:pPr>
      <w:ind w:left="210"/>
      <w:jc w:val="left"/>
    </w:pPr>
    <w:rPr>
      <w:smallCaps/>
      <w:szCs w:val="24"/>
    </w:rPr>
  </w:style>
  <w:style w:type="paragraph" w:styleId="929">
    <w:name w:val="目录 9"/>
    <w:basedOn w:val="869"/>
    <w:next w:val="869"/>
    <w:link w:val="869"/>
    <w:semiHidden/>
    <w:pPr>
      <w:ind w:left="1680"/>
      <w:jc w:val="left"/>
    </w:pPr>
  </w:style>
  <w:style w:type="paragraph" w:styleId="930">
    <w:name w:val="正文文本 2"/>
    <w:basedOn w:val="869"/>
    <w:next w:val="930"/>
    <w:link w:val="931"/>
    <w:pPr>
      <w:jc w:val="center"/>
      <w:widowControl/>
    </w:pPr>
    <w:rPr>
      <w:rFonts w:ascii="楷体_GB2312" w:eastAsia="楷体_GB2312"/>
      <w:sz w:val="28"/>
      <w:szCs w:val="28"/>
    </w:rPr>
  </w:style>
  <w:style w:type="character" w:styleId="931">
    <w:name w:val="正文文本 2 Char"/>
    <w:next w:val="931"/>
    <w:link w:val="930"/>
    <w:rPr>
      <w:rFonts w:ascii="楷体_GB2312" w:hAnsi="Times New Roman" w:eastAsia="楷体_GB2312" w:cs="Times New Roman"/>
      <w:sz w:val="28"/>
      <w:szCs w:val="28"/>
    </w:rPr>
  </w:style>
  <w:style w:type="paragraph" w:styleId="932">
    <w:name w:val="普通(网站)"/>
    <w:basedOn w:val="869"/>
    <w:next w:val="932"/>
    <w:link w:val="869"/>
    <w:uiPriority w:val="99"/>
    <w:pPr>
      <w:jc w:val="left"/>
      <w:spacing w:before="100" w:beforeAutospacing="1" w:after="100" w:afterAutospacing="1"/>
      <w:widowControl/>
    </w:pPr>
    <w:rPr>
      <w:rFonts w:ascii="宋体" w:hAnsi="宋体" w:cs="宋体"/>
      <w:sz w:val="24"/>
      <w:szCs w:val="24"/>
    </w:rPr>
  </w:style>
  <w:style w:type="paragraph" w:styleId="933">
    <w:name w:val="索引 1"/>
    <w:basedOn w:val="869"/>
    <w:next w:val="869"/>
    <w:link w:val="869"/>
    <w:semiHidden/>
    <w:pPr>
      <w:spacing w:line="240" w:lineRule="atLeast"/>
    </w:pPr>
    <w:rPr>
      <w:b/>
      <w:bCs/>
    </w:rPr>
  </w:style>
  <w:style w:type="paragraph" w:styleId="934">
    <w:name w:val="批注主题"/>
    <w:basedOn w:val="896"/>
    <w:next w:val="896"/>
    <w:link w:val="935"/>
    <w:semiHidden/>
    <w:rPr>
      <w:b/>
      <w:bCs/>
    </w:rPr>
  </w:style>
  <w:style w:type="character" w:styleId="935">
    <w:name w:val="批注主题 Char"/>
    <w:next w:val="935"/>
    <w:link w:val="934"/>
    <w:semiHidden/>
    <w:rPr>
      <w:rFonts w:ascii="Times New Roman" w:hAnsi="Times New Roman" w:eastAsia="宋体" w:cs="Times New Roman"/>
      <w:b/>
      <w:bCs/>
      <w:szCs w:val="21"/>
    </w:rPr>
  </w:style>
  <w:style w:type="paragraph" w:styleId="936">
    <w:name w:val="正文首行缩进"/>
    <w:basedOn w:val="869"/>
    <w:next w:val="936"/>
    <w:link w:val="937"/>
    <w:pPr>
      <w:ind w:firstLine="200"/>
      <w:spacing w:line="360" w:lineRule="auto"/>
    </w:pPr>
    <w:rPr>
      <w:rFonts w:ascii="仿宋_GB2312" w:eastAsia="仿宋_GB2312"/>
      <w:sz w:val="30"/>
      <w:szCs w:val="30"/>
    </w:rPr>
  </w:style>
  <w:style w:type="character" w:styleId="937">
    <w:name w:val="正文首行缩进 Char"/>
    <w:next w:val="937"/>
    <w:link w:val="936"/>
    <w:rPr>
      <w:rFonts w:ascii="仿宋_GB2312" w:hAnsi="Times New Roman" w:eastAsia="仿宋_GB2312" w:cs="Times New Roman"/>
      <w:sz w:val="30"/>
      <w:szCs w:val="30"/>
    </w:rPr>
  </w:style>
  <w:style w:type="paragraph" w:styleId="938">
    <w:name w:val="正文首行缩进 2"/>
    <w:basedOn w:val="902"/>
    <w:next w:val="869"/>
    <w:link w:val="939"/>
    <w:pPr>
      <w:ind w:firstLine="420"/>
      <w:spacing w:line="360" w:lineRule="auto"/>
    </w:pPr>
    <w:rPr>
      <w:rFonts w:ascii="宋体" w:hAnsi="宋体" w:eastAsia="宋体"/>
      <w:sz w:val="21"/>
      <w:szCs w:val="20"/>
    </w:rPr>
  </w:style>
  <w:style w:type="character" w:styleId="939">
    <w:name w:val="正文首行缩进 2 Char"/>
    <w:next w:val="939"/>
    <w:link w:val="938"/>
    <w:rPr>
      <w:rFonts w:ascii="宋体" w:hAnsi="宋体" w:eastAsia="宋体" w:cs="Times New Roman"/>
      <w:sz w:val="32"/>
      <w:szCs w:val="20"/>
    </w:rPr>
  </w:style>
  <w:style w:type="table" w:styleId="940">
    <w:name w:val="网格型"/>
    <w:basedOn w:val="880"/>
    <w:next w:val="940"/>
    <w:link w:val="869"/>
    <w:pPr>
      <w:jc w:val="both"/>
      <w:widowControl w:val="off"/>
    </w:pPr>
    <w:rPr>
      <w:rFonts w:ascii="Times New Roman" w:hAnsi="Times New Roman" w:eastAsia="宋体" w:cs="Times New Roman"/>
      <w:sz w:val="20"/>
      <w:szCs w:val="20"/>
    </w:rPr>
    <w:tblPr/>
  </w:style>
  <w:style w:type="character" w:styleId="941">
    <w:name w:val="要点"/>
    <w:next w:val="941"/>
    <w:link w:val="869"/>
    <w:qFormat/>
    <w:rPr>
      <w:b/>
      <w:bCs/>
    </w:rPr>
  </w:style>
  <w:style w:type="character" w:styleId="942">
    <w:name w:val="页码"/>
    <w:next w:val="942"/>
    <w:link w:val="869"/>
  </w:style>
  <w:style w:type="character" w:styleId="943">
    <w:name w:val="已访问的超链接"/>
    <w:next w:val="943"/>
    <w:link w:val="869"/>
    <w:rPr>
      <w:color w:val="800080"/>
      <w:u w:val="single"/>
    </w:rPr>
  </w:style>
  <w:style w:type="character" w:styleId="944">
    <w:name w:val="强调"/>
    <w:next w:val="944"/>
    <w:link w:val="869"/>
    <w:qFormat/>
    <w:rPr>
      <w:i/>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paragraph" w:styleId="948">
    <w:name w:val="正文首行缩进 21"/>
    <w:basedOn w:val="949"/>
    <w:next w:val="869"/>
    <w:link w:val="869"/>
    <w:qFormat/>
    <w:pPr>
      <w:ind w:firstLine="420"/>
      <w:spacing w:line="360" w:lineRule="auto"/>
    </w:pPr>
    <w:rPr>
      <w:rFonts w:ascii="宋体" w:hAnsi="宋体" w:eastAsia="宋体"/>
      <w:sz w:val="21"/>
      <w:szCs w:val="20"/>
    </w:rPr>
  </w:style>
  <w:style w:type="paragraph" w:styleId="949">
    <w:name w:val="正文文本缩进11"/>
    <w:basedOn w:val="869"/>
    <w:next w:val="950"/>
    <w:link w:val="869"/>
    <w:qFormat/>
    <w:pPr>
      <w:ind w:firstLine="645"/>
    </w:pPr>
    <w:rPr>
      <w:rFonts w:ascii="楷体_GB2312" w:eastAsia="楷体_GB2312"/>
      <w:sz w:val="32"/>
      <w:szCs w:val="32"/>
    </w:rPr>
  </w:style>
  <w:style w:type="paragraph" w:styleId="950">
    <w:name w:val="寄信人地址1"/>
    <w:basedOn w:val="869"/>
    <w:next w:val="950"/>
    <w:link w:val="869"/>
    <w:qFormat/>
    <w:rPr>
      <w:rFonts w:ascii="Arial" w:hAnsi="Arial" w:eastAsia="宋体" w:cs="宋体"/>
    </w:rPr>
  </w:style>
  <w:style w:type="paragraph" w:styleId="951">
    <w:name w:val="标题 41"/>
    <w:basedOn w:val="869"/>
    <w:next w:val="952"/>
    <w:link w:val="869"/>
    <w:qFormat/>
    <w:pPr>
      <w:keepLines/>
      <w:keepNext/>
      <w:spacing w:before="280" w:after="290" w:line="376" w:lineRule="auto"/>
      <w:outlineLvl w:val="3"/>
    </w:pPr>
    <w:rPr>
      <w:rFonts w:ascii="Arial" w:hAnsi="Arial" w:eastAsia="黑体" w:cs="Arial"/>
      <w:b/>
      <w:bCs/>
      <w:sz w:val="28"/>
      <w:szCs w:val="28"/>
    </w:rPr>
  </w:style>
  <w:style w:type="paragraph" w:styleId="952">
    <w:name w:val="正文缩进1"/>
    <w:basedOn w:val="869"/>
    <w:next w:val="952"/>
    <w:link w:val="869"/>
    <w:qFormat/>
    <w:pPr>
      <w:ind w:firstLine="420"/>
    </w:pPr>
  </w:style>
  <w:style w:type="paragraph" w:styleId="953">
    <w:name w:val="正文文本12"/>
    <w:basedOn w:val="869"/>
    <w:next w:val="953"/>
    <w:link w:val="869"/>
    <w:uiPriority w:val="1"/>
    <w:qFormat/>
    <w:pPr>
      <w:ind w:left="120"/>
    </w:pPr>
    <w:rPr>
      <w:rFonts w:ascii="宋体" w:hAnsi="宋体" w:eastAsia="宋体" w:cs="宋体"/>
      <w:sz w:val="21"/>
      <w:szCs w:val="21"/>
      <w:lang w:val="zh-CN" w:eastAsia="zh-CN" w:bidi="zh-CN"/>
    </w:rPr>
  </w:style>
  <w:style w:type="character" w:styleId="954">
    <w:name w:val="font5 Char"/>
    <w:next w:val="954"/>
    <w:link w:val="869"/>
    <w:rPr>
      <w:rFonts w:ascii="宋体" w:hAnsi="宋体" w:eastAsia="宋体"/>
      <w:sz w:val="28"/>
      <w:szCs w:val="28"/>
      <w:lang w:val="en-US" w:eastAsia="zh-CN" w:bidi="ar-SA"/>
    </w:rPr>
  </w:style>
  <w:style w:type="character" w:styleId="955">
    <w:name w:val="二级目录 Char"/>
    <w:next w:val="955"/>
    <w:link w:val="956"/>
    <w:rPr>
      <w:b/>
      <w:sz w:val="30"/>
      <w:szCs w:val="28"/>
    </w:rPr>
  </w:style>
  <w:style w:type="paragraph" w:styleId="956">
    <w:name w:val="二级目录"/>
    <w:next w:val="869"/>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69"/>
    <w:next w:val="958"/>
    <w:link w:val="957"/>
    <w:qFormat/>
    <w:pPr>
      <w:contextualSpacing/>
      <w:ind w:left="720"/>
      <w:jc w:val="left"/>
      <w:widowControl/>
    </w:pPr>
    <w:rPr>
      <w:rFonts w:ascii="Calibri" w:hAnsi="Calibri" w:eastAsia="宋体" w:cs="Times New Roman"/>
      <w:sz w:val="24"/>
      <w:szCs w:val="24"/>
      <w:lang w:eastAsia="en-US" w:bidi="en-US"/>
    </w:rPr>
  </w:style>
  <w:style w:type="paragraph" w:styleId="959">
    <w:name w:val="Body Text(ch)"/>
    <w:basedOn w:val="869"/>
    <w:next w:val="900"/>
    <w:link w:val="869"/>
    <w:pPr>
      <w:spacing w:after="120"/>
    </w:pPr>
    <w:rPr>
      <w:rFonts w:ascii="宋体" w:hAnsi="Arial"/>
      <w:bCs/>
      <w:iCs/>
      <w:szCs w:val="24"/>
    </w:rPr>
  </w:style>
  <w:style w:type="paragraph" w:styleId="960">
    <w:name w:val="xl27"/>
    <w:basedOn w:val="869"/>
    <w:next w:val="960"/>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69"/>
    <w:next w:val="961"/>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69"/>
    <w:next w:val="962"/>
    <w:link w:val="869"/>
    <w:pPr>
      <w:ind w:firstLine="200"/>
      <w:tabs>
        <w:tab w:val="left" w:pos="360" w:leader="none"/>
      </w:tabs>
    </w:pPr>
    <w:rPr>
      <w:sz w:val="28"/>
      <w:szCs w:val="30"/>
    </w:rPr>
  </w:style>
  <w:style w:type="paragraph" w:styleId="963">
    <w:name w:val=" Char"/>
    <w:basedOn w:val="894"/>
    <w:next w:val="963"/>
    <w:link w:val="869"/>
    <w:rPr>
      <w:rFonts w:ascii="Tahoma" w:hAnsi="Tahoma"/>
      <w:sz w:val="24"/>
      <w:szCs w:val="24"/>
    </w:rPr>
  </w:style>
  <w:style w:type="paragraph" w:styleId="964">
    <w:name w:val="普通正文"/>
    <w:basedOn w:val="869"/>
    <w:next w:val="964"/>
    <w:link w:val="869"/>
    <w:pPr>
      <w:ind w:firstLine="480"/>
      <w:jc w:val="left"/>
      <w:spacing w:before="120" w:after="120" w:line="360" w:lineRule="auto"/>
    </w:pPr>
    <w:rPr>
      <w:rFonts w:ascii="Arial" w:hAnsi="Arial"/>
      <w:sz w:val="24"/>
      <w:szCs w:val="24"/>
    </w:rPr>
  </w:style>
  <w:style w:type="paragraph" w:styleId="965">
    <w:name w:val="table_lines"/>
    <w:basedOn w:val="869"/>
    <w:next w:val="965"/>
    <w:link w:val="869"/>
    <w:pPr>
      <w:jc w:val="left"/>
      <w:widowControl/>
    </w:pPr>
    <w:rPr>
      <w:sz w:val="20"/>
      <w:szCs w:val="20"/>
      <w:lang w:val="de-DE" w:eastAsia="de-DE"/>
    </w:rPr>
  </w:style>
  <w:style w:type="paragraph" w:styleId="966">
    <w:name w:val="附录1"/>
    <w:next w:val="966"/>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69"/>
    <w:next w:val="967"/>
    <w:link w:val="869"/>
    <w:pPr>
      <w:jc w:val="left"/>
      <w:spacing w:before="100" w:beforeAutospacing="1" w:after="100" w:afterAutospacing="1"/>
      <w:widowControl/>
    </w:pPr>
    <w:rPr>
      <w:rFonts w:hint="eastAsia" w:ascii="宋体" w:hAnsi="宋体"/>
      <w:sz w:val="18"/>
      <w:szCs w:val="18"/>
    </w:rPr>
  </w:style>
  <w:style w:type="paragraph" w:styleId="968">
    <w:name w:val=" Char Char Char Char"/>
    <w:basedOn w:val="894"/>
    <w:next w:val="968"/>
    <w:link w:val="869"/>
    <w:pPr>
      <w:spacing w:line="360" w:lineRule="auto"/>
    </w:pPr>
    <w:rPr>
      <w:rFonts w:ascii="Tahoma" w:hAnsi="Tahoma"/>
      <w:sz w:val="24"/>
      <w:szCs w:val="24"/>
    </w:rPr>
  </w:style>
  <w:style w:type="paragraph" w:styleId="969">
    <w:name w:val="列出段落"/>
    <w:basedOn w:val="869"/>
    <w:next w:val="969"/>
    <w:link w:val="869"/>
    <w:qFormat/>
    <w:pPr>
      <w:contextualSpacing/>
      <w:ind w:left="720"/>
      <w:jc w:val="left"/>
      <w:widowControl/>
    </w:pPr>
    <w:rPr>
      <w:rFonts w:ascii="Calibri" w:hAnsi="Calibri"/>
      <w:sz w:val="24"/>
      <w:szCs w:val="24"/>
      <w:lang w:eastAsia="en-US" w:bidi="en-US"/>
    </w:rPr>
  </w:style>
  <w:style w:type="paragraph" w:styleId="970">
    <w:name w:val="4"/>
    <w:basedOn w:val="869"/>
    <w:next w:val="925"/>
    <w:link w:val="869"/>
    <w:pPr>
      <w:ind w:firstLine="420"/>
      <w:spacing w:line="360" w:lineRule="auto"/>
    </w:pPr>
    <w:rPr>
      <w:color w:val="ff0000"/>
      <w:sz w:val="24"/>
      <w:szCs w:val="24"/>
    </w:rPr>
  </w:style>
  <w:style w:type="paragraph" w:styleId="971">
    <w:name w:val="普通 (Web)"/>
    <w:basedOn w:val="869"/>
    <w:next w:val="971"/>
    <w:link w:val="869"/>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69"/>
    <w:next w:val="972"/>
    <w:link w:val="869"/>
    <w:pPr>
      <w:spacing w:line="360" w:lineRule="auto"/>
    </w:pPr>
    <w:rPr>
      <w:sz w:val="24"/>
      <w:szCs w:val="20"/>
    </w:rPr>
  </w:style>
  <w:style w:type="paragraph" w:styleId="973">
    <w:name w:val="样式1"/>
    <w:basedOn w:val="869"/>
    <w:next w:val="973"/>
    <w:link w:val="869"/>
    <w:pPr>
      <w:numPr>
        <w:ilvl w:val="0"/>
        <w:numId w:val="3"/>
      </w:numPr>
      <w:tabs>
        <w:tab w:val="left" w:pos="709" w:leader="none"/>
      </w:tabs>
    </w:pPr>
    <w:rPr>
      <w:rFonts w:ascii="宋体" w:hAnsi="宋体"/>
    </w:rPr>
  </w:style>
  <w:style w:type="paragraph" w:styleId="974">
    <w:name w:val="font6"/>
    <w:basedOn w:val="869"/>
    <w:next w:val="974"/>
    <w:link w:val="869"/>
    <w:pPr>
      <w:jc w:val="left"/>
      <w:spacing w:before="100" w:beforeAutospacing="1" w:after="100" w:afterAutospacing="1"/>
      <w:widowControl/>
    </w:pPr>
    <w:rPr>
      <w:rFonts w:hint="eastAsia" w:ascii="宋体" w:hAnsi="宋体"/>
      <w:sz w:val="28"/>
      <w:szCs w:val="28"/>
      <w:u w:val="single"/>
    </w:rPr>
  </w:style>
  <w:style w:type="paragraph" w:styleId="975">
    <w:name w:val="xl25"/>
    <w:basedOn w:val="869"/>
    <w:next w:val="975"/>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69"/>
    <w:next w:val="869"/>
    <w:link w:val="869"/>
    <w:pPr>
      <w:ind w:firstLine="624"/>
      <w:spacing w:line="590" w:lineRule="atLeast"/>
    </w:pPr>
    <w:rPr>
      <w:rFonts w:ascii="方正黑体_GBK" w:eastAsia="方正黑体_GBK"/>
      <w:sz w:val="32"/>
      <w:szCs w:val="32"/>
    </w:rPr>
  </w:style>
  <w:style w:type="paragraph" w:styleId="978">
    <w:name w:val="xl24"/>
    <w:basedOn w:val="869"/>
    <w:next w:val="978"/>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69"/>
    <w:next w:val="979"/>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69"/>
    <w:next w:val="980"/>
    <w:link w:val="869"/>
    <w:pPr>
      <w:jc w:val="left"/>
      <w:spacing w:after="160" w:line="240" w:lineRule="exact"/>
      <w:widowControl/>
    </w:pPr>
    <w:rPr>
      <w:rFonts w:ascii="Verdana" w:hAnsi="Verdana"/>
      <w:sz w:val="20"/>
      <w:szCs w:val="20"/>
      <w:lang w:eastAsia="en-US"/>
    </w:rPr>
  </w:style>
  <w:style w:type="paragraph" w:styleId="981">
    <w:name w:val="xl28"/>
    <w:basedOn w:val="869"/>
    <w:next w:val="981"/>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69"/>
    <w:next w:val="982"/>
    <w:link w:val="869"/>
    <w:pPr>
      <w:jc w:val="left"/>
      <w:spacing w:after="160" w:line="240" w:lineRule="exact"/>
      <w:widowControl/>
    </w:pPr>
    <w:rPr>
      <w:rFonts w:ascii="Verdana" w:hAnsi="Verdana"/>
      <w:sz w:val="20"/>
      <w:szCs w:val="20"/>
      <w:lang w:eastAsia="en-US"/>
    </w:rPr>
  </w:style>
  <w:style w:type="paragraph" w:styleId="983">
    <w:name w:val="xl30"/>
    <w:basedOn w:val="869"/>
    <w:next w:val="983"/>
    <w:link w:val="869"/>
    <w:pPr>
      <w:jc w:val="center"/>
      <w:spacing w:before="100" w:beforeAutospacing="1" w:after="100" w:afterAutospacing="1"/>
      <w:widowControl/>
    </w:pPr>
    <w:rPr>
      <w:rFonts w:ascii="宋体" w:hAnsi="宋体"/>
      <w:b/>
      <w:bCs/>
      <w:sz w:val="36"/>
      <w:szCs w:val="36"/>
    </w:rPr>
  </w:style>
  <w:style w:type="paragraph" w:styleId="984">
    <w:name w:val="Char Char Char Char"/>
    <w:basedOn w:val="894"/>
    <w:next w:val="984"/>
    <w:link w:val="869"/>
    <w:pPr>
      <w:spacing w:line="360" w:lineRule="auto"/>
    </w:pPr>
    <w:rPr>
      <w:rFonts w:ascii="Tahoma" w:hAnsi="Tahoma"/>
      <w:sz w:val="24"/>
      <w:szCs w:val="24"/>
    </w:rPr>
  </w:style>
  <w:style w:type="paragraph" w:styleId="985">
    <w:name w:val="table_1stline"/>
    <w:basedOn w:val="869"/>
    <w:next w:val="985"/>
    <w:link w:val="869"/>
    <w:pPr>
      <w:jc w:val="left"/>
      <w:spacing w:before="120"/>
      <w:widowControl/>
    </w:pPr>
    <w:rPr>
      <w:bCs/>
      <w:sz w:val="20"/>
      <w:szCs w:val="20"/>
      <w:lang w:val="de-DE" w:eastAsia="de-DE"/>
    </w:rPr>
  </w:style>
  <w:style w:type="paragraph" w:styleId="986">
    <w:name w:val="font5"/>
    <w:basedOn w:val="869"/>
    <w:next w:val="986"/>
    <w:link w:val="869"/>
    <w:pPr>
      <w:jc w:val="left"/>
      <w:spacing w:before="100" w:beforeAutospacing="1" w:after="100" w:afterAutospacing="1"/>
      <w:widowControl/>
    </w:pPr>
    <w:rPr>
      <w:rFonts w:hint="eastAsia" w:ascii="宋体" w:hAnsi="宋体"/>
      <w:sz w:val="28"/>
      <w:szCs w:val="28"/>
    </w:rPr>
  </w:style>
  <w:style w:type="paragraph" w:styleId="987">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69"/>
    <w:uiPriority w:val="99"/>
    <w:semiHidden/>
    <w:rPr>
      <w:rFonts w:ascii="Times New Roman" w:hAnsi="Times New Roman"/>
      <w:sz w:val="21"/>
      <w:szCs w:val="21"/>
      <w:lang w:val="en-US" w:eastAsia="zh-CN" w:bidi="ar-SA"/>
    </w:rPr>
  </w:style>
  <w:style w:type="paragraph" w:styleId="989">
    <w:name w:val="无间隔"/>
    <w:next w:val="989"/>
    <w:link w:val="869"/>
    <w:uiPriority w:val="99"/>
    <w:qFormat/>
    <w:pPr>
      <w:jc w:val="both"/>
      <w:widowControl w:val="off"/>
    </w:pPr>
    <w:rPr>
      <w:rFonts w:ascii="Times New Roman" w:hAnsi="Times New Roman"/>
      <w:sz w:val="21"/>
      <w:szCs w:val="21"/>
      <w:lang w:val="en-US" w:eastAsia="zh-CN" w:bidi="ar-SA"/>
    </w:rPr>
  </w:style>
  <w:style w:type="paragraph" w:styleId="990">
    <w:name w:val="正文文本 211"/>
    <w:basedOn w:val="869"/>
    <w:next w:val="990"/>
    <w:link w:val="869"/>
    <w:uiPriority w:val="99"/>
    <w:qFormat/>
    <w:pPr>
      <w:jc w:val="center"/>
    </w:pPr>
    <w:rPr>
      <w:b/>
      <w:bCs/>
      <w:sz w:val="20"/>
      <w:szCs w:val="20"/>
    </w:rPr>
  </w:style>
  <w:style w:type="table" w:styleId="991">
    <w:name w:val="Table Normal"/>
    <w:next w:val="991"/>
    <w:link w:val="869"/>
    <w:qFormat/>
    <w:tblPr/>
  </w:style>
  <w:style w:type="paragraph" w:styleId="992">
    <w:name w:val="正文文本1"/>
    <w:basedOn w:val="869"/>
    <w:next w:val="869"/>
    <w:link w:val="869"/>
    <w:semiHidden/>
    <w:qFormat/>
    <w:rPr>
      <w:rFonts w:ascii="Arial" w:hAnsi="Arial" w:eastAsia="Arial" w:cs="Arial"/>
      <w:sz w:val="21"/>
      <w:szCs w:val="21"/>
      <w:lang w:val="en-US" w:eastAsia="en-US" w:bidi="ar-SA"/>
    </w:rPr>
  </w:style>
  <w:style w:type="paragraph" w:styleId="993">
    <w:name w:val="纯文本1"/>
    <w:basedOn w:val="869"/>
    <w:next w:val="993"/>
    <w:link w:val="869"/>
    <w:qFormat/>
    <w:rPr>
      <w:rFonts w:ascii="宋体" w:hAnsi="Courier New" w:cs="Courier New"/>
    </w:rPr>
  </w:style>
  <w:style w:type="table" w:styleId="994">
    <w:name w:val="网格型1"/>
    <w:basedOn w:val="995"/>
    <w:next w:val="994"/>
    <w:link w:val="869"/>
    <w:qFormat/>
    <w:pPr>
      <w:jc w:val="both"/>
      <w:widowControl w:val="off"/>
    </w:pPr>
    <w:tblPr/>
  </w:style>
  <w:style w:type="table" w:styleId="995">
    <w:name w:val="普通表格1"/>
    <w:next w:val="995"/>
    <w:link w:val="869"/>
    <w:uiPriority w:val="99"/>
    <w:unhideWhenUsed/>
    <w:qFormat/>
    <w:tbl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6</cp:revision>
  <dcterms:created xsi:type="dcterms:W3CDTF">2023-03-16T02:16:00Z</dcterms:created>
  <dcterms:modified xsi:type="dcterms:W3CDTF">2026-03-25T07:48:38Z</dcterms:modified>
</cp:coreProperties>
</file>